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D4847" w14:textId="77777777" w:rsidR="006B47E0" w:rsidRPr="002D79A9" w:rsidRDefault="006B47E0" w:rsidP="006B47E0">
      <w:pPr>
        <w:rPr>
          <w:b/>
          <w:bCs/>
          <w:i/>
          <w:iCs/>
          <w:color w:val="FFFFFF" w:themeColor="background1"/>
          <w:szCs w:val="24"/>
          <w:lang w:eastAsia="fr-FR"/>
        </w:rPr>
      </w:pPr>
      <w:r w:rsidRPr="002D79A9">
        <w:rPr>
          <w:b/>
          <w:bCs/>
          <w:i/>
          <w:iCs/>
          <w:noProof/>
          <w:color w:val="FFFFFF" w:themeColor="background1"/>
          <w:szCs w:val="24"/>
          <w:lang w:eastAsia="fr-FR"/>
          <w14:ligatures w14:val="standardContextual"/>
        </w:rPr>
        <mc:AlternateContent>
          <mc:Choice Requires="wps">
            <w:drawing>
              <wp:anchor distT="0" distB="0" distL="114300" distR="114300" simplePos="0" relativeHeight="251662848" behindDoc="1" locked="0" layoutInCell="1" allowOverlap="1" wp14:anchorId="4F78AC20" wp14:editId="63702D60">
                <wp:simplePos x="0" y="0"/>
                <wp:positionH relativeFrom="column">
                  <wp:posOffset>-899160</wp:posOffset>
                </wp:positionH>
                <wp:positionV relativeFrom="paragraph">
                  <wp:posOffset>-899160</wp:posOffset>
                </wp:positionV>
                <wp:extent cx="15071725" cy="10657205"/>
                <wp:effectExtent l="0" t="0" r="15875" b="10795"/>
                <wp:wrapNone/>
                <wp:docPr id="2131410159" name="Rectangle 5"/>
                <wp:cNvGraphicFramePr/>
                <a:graphic xmlns:a="http://schemas.openxmlformats.org/drawingml/2006/main">
                  <a:graphicData uri="http://schemas.microsoft.com/office/word/2010/wordprocessingShape">
                    <wps:wsp>
                      <wps:cNvSpPr/>
                      <wps:spPr>
                        <a:xfrm>
                          <a:off x="0" y="0"/>
                          <a:ext cx="15071725" cy="106572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C5C90C" id="Rectangle 5" o:spid="_x0000_s1026" style="position:absolute;margin-left:-70.8pt;margin-top:-70.8pt;width:1186.75pt;height:839.1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" fillcolor="#156082 [3204]" strokecolor="#030e13 [484]" strokeweight="1pt"/>
            </w:pict>
          </mc:Fallback>
        </mc:AlternateContent>
      </w:r>
      <w:r w:rsidRPr="002D79A9">
        <w:rPr>
          <w:b/>
          <w:bCs/>
          <w:i/>
          <w:iCs/>
          <w:color w:val="FFFFFF" w:themeColor="background1"/>
          <w:szCs w:val="24"/>
          <w:lang w:eastAsia="fr-FR"/>
        </w:rPr>
        <w:t>Module 1 : Audit de la situation juridique des personnes et des biens et stratégies patrimoniales civiles</w:t>
      </w:r>
    </w:p>
    <w:p w14:paraId="0CCA7F0C" w14:textId="77777777" w:rsidR="006B47E0" w:rsidRPr="002D79A9" w:rsidRDefault="006B47E0" w:rsidP="006B47E0">
      <w:pPr>
        <w:rPr>
          <w:b/>
          <w:bCs/>
          <w:i/>
          <w:iCs/>
          <w:color w:val="FFFFFF" w:themeColor="background1"/>
          <w:szCs w:val="24"/>
          <w:lang w:eastAsia="fr-FR"/>
        </w:rPr>
      </w:pPr>
      <w:r w:rsidRPr="002D79A9">
        <w:rPr>
          <w:b/>
          <w:bCs/>
          <w:i/>
          <w:iCs/>
          <w:color w:val="FFFFFF" w:themeColor="background1"/>
          <w:szCs w:val="24"/>
          <w:lang w:eastAsia="fr-FR"/>
        </w:rPr>
        <w:t xml:space="preserve">Leçon </w:t>
      </w:r>
      <w:r>
        <w:rPr>
          <w:b/>
          <w:bCs/>
          <w:i/>
          <w:iCs/>
          <w:color w:val="FFFFFF" w:themeColor="background1"/>
          <w:szCs w:val="24"/>
          <w:lang w:eastAsia="fr-FR"/>
        </w:rPr>
        <w:t>6</w:t>
      </w:r>
      <w:r w:rsidRPr="002D79A9">
        <w:rPr>
          <w:b/>
          <w:bCs/>
          <w:i/>
          <w:iCs/>
          <w:color w:val="FFFFFF" w:themeColor="background1"/>
          <w:szCs w:val="24"/>
          <w:lang w:eastAsia="fr-FR"/>
        </w:rPr>
        <w:t xml:space="preserve"> : </w:t>
      </w:r>
      <w:r>
        <w:rPr>
          <w:b/>
          <w:bCs/>
          <w:i/>
          <w:iCs/>
          <w:color w:val="FFFFFF" w:themeColor="background1"/>
          <w:szCs w:val="24"/>
          <w:lang w:eastAsia="fr-FR"/>
        </w:rPr>
        <w:t>Focus sur la</w:t>
      </w:r>
      <w:r w:rsidRPr="002D79A9">
        <w:rPr>
          <w:b/>
          <w:bCs/>
          <w:i/>
          <w:iCs/>
          <w:color w:val="FFFFFF" w:themeColor="background1"/>
          <w:szCs w:val="24"/>
          <w:lang w:eastAsia="fr-FR"/>
        </w:rPr>
        <w:t xml:space="preserve"> gestion du patrimoine </w:t>
      </w:r>
      <w:r>
        <w:rPr>
          <w:b/>
          <w:bCs/>
          <w:i/>
          <w:iCs/>
          <w:color w:val="FFFFFF" w:themeColor="background1"/>
          <w:szCs w:val="24"/>
          <w:lang w:eastAsia="fr-FR"/>
        </w:rPr>
        <w:t>des personnes vulnérables</w:t>
      </w:r>
    </w:p>
    <w:p w14:paraId="0C0A4D78" w14:textId="721A64ED" w:rsidR="007A0B3B" w:rsidRPr="00770BF8" w:rsidRDefault="00BE6C59" w:rsidP="00BE6C59">
      <w:r w:rsidRPr="00770BF8">
        <w:rPr>
          <w:noProof/>
        </w:rPr>
        <mc:AlternateContent>
          <mc:Choice Requires="wps">
            <w:drawing>
              <wp:anchor distT="0" distB="0" distL="114300" distR="114300" simplePos="0" relativeHeight="251653632" behindDoc="1" locked="0" layoutInCell="1" allowOverlap="1" wp14:anchorId="09E5DDB9" wp14:editId="2B4E17AE">
                <wp:simplePos x="0" y="0"/>
                <wp:positionH relativeFrom="column">
                  <wp:posOffset>-1080654</wp:posOffset>
                </wp:positionH>
                <wp:positionV relativeFrom="paragraph">
                  <wp:posOffset>-1193495</wp:posOffset>
                </wp:positionV>
                <wp:extent cx="10212656" cy="8051314"/>
                <wp:effectExtent l="0" t="0" r="17780" b="26035"/>
                <wp:wrapNone/>
                <wp:docPr id="744761551" name="Rectangle 3"/>
                <wp:cNvGraphicFramePr/>
                <a:graphic xmlns:a="http://schemas.openxmlformats.org/drawingml/2006/main">
                  <a:graphicData uri="http://schemas.microsoft.com/office/word/2010/wordprocessingShape">
                    <wps:wsp>
                      <wps:cNvSpPr/>
                      <wps:spPr>
                        <a:xfrm>
                          <a:off x="0" y="0"/>
                          <a:ext cx="10212656" cy="8051314"/>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15A89" id="Rectangle 3" o:spid="_x0000_s1026" style="position:absolute;margin-left:-85.1pt;margin-top:-94pt;width:804.15pt;height:633.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" fillcolor="#215e99 [2431]" strokecolor="#030e13 [484]" strokeweight="1pt"/>
            </w:pict>
          </mc:Fallback>
        </mc:AlternateContent>
      </w:r>
    </w:p>
    <w:p w14:paraId="07775130" w14:textId="77777777" w:rsidR="007A0B3B" w:rsidRPr="00770BF8" w:rsidRDefault="007A0B3B" w:rsidP="00BA15E8"/>
    <w:p w14:paraId="45142553" w14:textId="77777777" w:rsidR="007A0B3B" w:rsidRPr="00770BF8" w:rsidRDefault="007A0B3B" w:rsidP="00BA15E8"/>
    <w:p w14:paraId="6A479452" w14:textId="77777777" w:rsidR="007A0B3B" w:rsidRPr="00770BF8" w:rsidRDefault="007A0B3B" w:rsidP="00BA15E8"/>
    <w:p w14:paraId="6690AA68" w14:textId="77777777" w:rsidR="007A0B3B" w:rsidRPr="00770BF8" w:rsidRDefault="007A0B3B" w:rsidP="00BA15E8"/>
    <w:p w14:paraId="5A68F725" w14:textId="77777777" w:rsidR="007A0B3B" w:rsidRPr="00770BF8" w:rsidRDefault="007A0B3B" w:rsidP="00BA15E8"/>
    <w:p w14:paraId="317E570B" w14:textId="270F36BE" w:rsidR="007A0B3B" w:rsidRPr="00770BF8" w:rsidRDefault="00EB5D09" w:rsidP="00BA15E8">
      <w:pPr>
        <w:rPr>
          <w:b/>
          <w:bCs/>
          <w:color w:val="FFFFFF" w:themeColor="background1"/>
          <w:sz w:val="56"/>
          <w:szCs w:val="56"/>
        </w:rPr>
      </w:pPr>
      <w:r w:rsidRPr="00770BF8">
        <w:rPr>
          <w:b/>
          <w:bCs/>
          <w:color w:val="FFFFFF" w:themeColor="background1"/>
          <w:sz w:val="56"/>
          <w:szCs w:val="56"/>
        </w:rPr>
        <w:t>C</w:t>
      </w:r>
      <w:r w:rsidR="007A0B3B" w:rsidRPr="00770BF8">
        <w:rPr>
          <w:b/>
          <w:bCs/>
          <w:color w:val="FFFFFF" w:themeColor="background1"/>
          <w:sz w:val="56"/>
          <w:szCs w:val="56"/>
        </w:rPr>
        <w:t>hapitre 2 : l’anticipation de la vulnérabilité d’une personne</w:t>
      </w:r>
    </w:p>
    <w:p w14:paraId="210BDD2D" w14:textId="77777777" w:rsidR="007A0B3B" w:rsidRPr="00770BF8" w:rsidRDefault="007A0B3B">
      <w:r w:rsidRPr="00770BF8">
        <w:br w:type="page"/>
      </w:r>
    </w:p>
    <w:p w14:paraId="0EFC9449" w14:textId="40BE74B1" w:rsidR="00F13D6B" w:rsidRDefault="00BA15E8" w:rsidP="00F13D6B">
      <w:r w:rsidRPr="00770BF8">
        <w:lastRenderedPageBreak/>
        <w:t>Si les raisons d’anticiper la vulnérabilité sont multiples (I), l’instrument privilégié pour y parvenir est le mandat de protection future (II). Il n’est cependant pas le seul (III).</w:t>
      </w:r>
    </w:p>
    <w:sdt>
      <w:sdtPr>
        <w:rPr>
          <w:rFonts w:ascii="Open Sans" w:eastAsiaTheme="minorHAnsi" w:hAnsi="Open Sans" w:cstheme="minorBidi"/>
          <w:b w:val="0"/>
          <w:caps w:val="0"/>
          <w:color w:val="auto"/>
          <w:kern w:val="0"/>
          <w:sz w:val="32"/>
          <w:szCs w:val="22"/>
          <w:lang w:eastAsia="en-US"/>
          <w14:ligatures w14:val="none"/>
        </w:rPr>
        <w:id w:val="1710143358"/>
        <w:docPartObj>
          <w:docPartGallery w:val="Table of Contents"/>
          <w:docPartUnique/>
        </w:docPartObj>
      </w:sdtPr>
      <w:sdtEndPr>
        <w:rPr>
          <w:bCs/>
        </w:rPr>
      </w:sdtEndPr>
      <w:sdtContent>
        <w:p w14:paraId="6A1AE49A" w14:textId="7A809C42" w:rsidR="005A14F1" w:rsidRDefault="005A14F1">
          <w:pPr>
            <w:pStyle w:val="En-ttedetabledesmatires"/>
          </w:pPr>
          <w:r>
            <w:t>Table des matières</w:t>
          </w:r>
        </w:p>
        <w:p w14:paraId="51FEEC95" w14:textId="22D4E9D9" w:rsidR="00671A5F" w:rsidRDefault="005A14F1">
          <w:pPr>
            <w:pStyle w:val="TM1"/>
            <w:rPr>
              <w:rFonts w:asciiTheme="minorHAnsi" w:eastAsiaTheme="minorEastAsia" w:hAnsiTheme="minorHAnsi" w:cstheme="minorBidi"/>
              <w:b w:val="0"/>
              <w:bCs w:val="0"/>
              <w:i w:val="0"/>
              <w:iCs w:val="0"/>
              <w:noProof/>
              <w:kern w:val="2"/>
              <w:sz w:val="24"/>
              <w:lang w:eastAsia="fr-FR"/>
              <w14:ligatures w14:val="standardContextual"/>
            </w:rPr>
          </w:pPr>
          <w:r>
            <w:fldChar w:fldCharType="begin"/>
          </w:r>
          <w:r>
            <w:instrText xml:space="preserve"> TOC \o "1-3" \h \z \u </w:instrText>
          </w:r>
          <w:r>
            <w:fldChar w:fldCharType="separate"/>
          </w:r>
          <w:hyperlink w:anchor="_Toc234734938" w:history="1">
            <w:r w:rsidR="00671A5F" w:rsidRPr="0033246F">
              <w:rPr>
                <w:rStyle w:val="Lienhypertexte"/>
                <w:noProof/>
              </w:rPr>
              <w:t>I.</w:t>
            </w:r>
            <w:r w:rsidR="00671A5F">
              <w:rPr>
                <w:rFonts w:asciiTheme="minorHAnsi" w:eastAsiaTheme="minorEastAsia" w:hAnsiTheme="minorHAnsi" w:cstheme="minorBidi"/>
                <w:b w:val="0"/>
                <w:bCs w:val="0"/>
                <w:i w:val="0"/>
                <w:iCs w:val="0"/>
                <w:noProof/>
                <w:kern w:val="2"/>
                <w:sz w:val="24"/>
                <w:lang w:eastAsia="fr-FR"/>
                <w14:ligatures w14:val="standardContextual"/>
              </w:rPr>
              <w:tab/>
            </w:r>
            <w:r w:rsidR="00671A5F" w:rsidRPr="0033246F">
              <w:rPr>
                <w:rStyle w:val="Lienhypertexte"/>
                <w:noProof/>
              </w:rPr>
              <w:t>Les raisons d’anticiper la vulnérabilité</w:t>
            </w:r>
            <w:r w:rsidR="00671A5F">
              <w:rPr>
                <w:noProof/>
                <w:webHidden/>
              </w:rPr>
              <w:tab/>
            </w:r>
            <w:r w:rsidR="00671A5F">
              <w:rPr>
                <w:noProof/>
                <w:webHidden/>
              </w:rPr>
              <w:fldChar w:fldCharType="begin"/>
            </w:r>
            <w:r w:rsidR="00671A5F">
              <w:rPr>
                <w:noProof/>
                <w:webHidden/>
              </w:rPr>
              <w:instrText xml:space="preserve"> PAGEREF _Toc234734938 \h </w:instrText>
            </w:r>
            <w:r w:rsidR="00671A5F">
              <w:rPr>
                <w:noProof/>
                <w:webHidden/>
              </w:rPr>
            </w:r>
            <w:r w:rsidR="00671A5F">
              <w:rPr>
                <w:noProof/>
                <w:webHidden/>
              </w:rPr>
              <w:fldChar w:fldCharType="separate"/>
            </w:r>
            <w:r w:rsidR="00671A5F">
              <w:rPr>
                <w:noProof/>
                <w:webHidden/>
              </w:rPr>
              <w:t>4</w:t>
            </w:r>
            <w:r w:rsidR="00671A5F">
              <w:rPr>
                <w:noProof/>
                <w:webHidden/>
              </w:rPr>
              <w:fldChar w:fldCharType="end"/>
            </w:r>
          </w:hyperlink>
        </w:p>
        <w:p w14:paraId="3BC6E95F" w14:textId="15BD3B0F" w:rsidR="00671A5F" w:rsidRDefault="00671A5F">
          <w:pPr>
            <w:pStyle w:val="TM1"/>
            <w:rPr>
              <w:rFonts w:asciiTheme="minorHAnsi" w:eastAsiaTheme="minorEastAsia" w:hAnsiTheme="minorHAnsi" w:cstheme="minorBidi"/>
              <w:b w:val="0"/>
              <w:bCs w:val="0"/>
              <w:i w:val="0"/>
              <w:iCs w:val="0"/>
              <w:noProof/>
              <w:kern w:val="2"/>
              <w:sz w:val="24"/>
              <w:lang w:eastAsia="fr-FR"/>
              <w14:ligatures w14:val="standardContextual"/>
            </w:rPr>
          </w:pPr>
          <w:hyperlink w:anchor="_Toc234734939" w:history="1">
            <w:r w:rsidRPr="0033246F">
              <w:rPr>
                <w:rStyle w:val="Lienhypertexte"/>
                <w:noProof/>
              </w:rPr>
              <w:t>II.</w:t>
            </w:r>
            <w:r>
              <w:rPr>
                <w:rFonts w:asciiTheme="minorHAnsi" w:eastAsiaTheme="minorEastAsia" w:hAnsiTheme="minorHAnsi" w:cstheme="minorBidi"/>
                <w:b w:val="0"/>
                <w:bCs w:val="0"/>
                <w:i w:val="0"/>
                <w:iCs w:val="0"/>
                <w:noProof/>
                <w:kern w:val="2"/>
                <w:sz w:val="24"/>
                <w:lang w:eastAsia="fr-FR"/>
                <w14:ligatures w14:val="standardContextual"/>
              </w:rPr>
              <w:tab/>
            </w:r>
            <w:r w:rsidRPr="0033246F">
              <w:rPr>
                <w:rStyle w:val="Lienhypertexte"/>
                <w:noProof/>
              </w:rPr>
              <w:t>Le mandat de protection future</w:t>
            </w:r>
            <w:r>
              <w:rPr>
                <w:noProof/>
                <w:webHidden/>
              </w:rPr>
              <w:tab/>
            </w:r>
            <w:r>
              <w:rPr>
                <w:noProof/>
                <w:webHidden/>
              </w:rPr>
              <w:fldChar w:fldCharType="begin"/>
            </w:r>
            <w:r>
              <w:rPr>
                <w:noProof/>
                <w:webHidden/>
              </w:rPr>
              <w:instrText xml:space="preserve"> PAGEREF _Toc234734939 \h </w:instrText>
            </w:r>
            <w:r>
              <w:rPr>
                <w:noProof/>
                <w:webHidden/>
              </w:rPr>
            </w:r>
            <w:r>
              <w:rPr>
                <w:noProof/>
                <w:webHidden/>
              </w:rPr>
              <w:fldChar w:fldCharType="separate"/>
            </w:r>
            <w:r>
              <w:rPr>
                <w:noProof/>
                <w:webHidden/>
              </w:rPr>
              <w:t>6</w:t>
            </w:r>
            <w:r>
              <w:rPr>
                <w:noProof/>
                <w:webHidden/>
              </w:rPr>
              <w:fldChar w:fldCharType="end"/>
            </w:r>
          </w:hyperlink>
        </w:p>
        <w:p w14:paraId="58F3B8CD" w14:textId="71EEDB4D"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0" w:history="1">
            <w:r w:rsidRPr="0033246F">
              <w:rPr>
                <w:rStyle w:val="Lienhypertexte"/>
                <w:noProof/>
              </w:rPr>
              <w:t>1.</w:t>
            </w:r>
            <w:r>
              <w:rPr>
                <w:rFonts w:asciiTheme="minorHAnsi" w:eastAsiaTheme="minorEastAsia" w:hAnsiTheme="minorHAnsi"/>
                <w:noProof/>
                <w:kern w:val="2"/>
                <w:sz w:val="24"/>
                <w:szCs w:val="24"/>
                <w:lang w:eastAsia="fr-FR"/>
                <w14:ligatures w14:val="standardContextual"/>
              </w:rPr>
              <w:tab/>
            </w:r>
            <w:r w:rsidRPr="0033246F">
              <w:rPr>
                <w:rStyle w:val="Lienhypertexte"/>
                <w:noProof/>
              </w:rPr>
              <w:t>L'objet du mandat</w:t>
            </w:r>
            <w:r>
              <w:rPr>
                <w:noProof/>
                <w:webHidden/>
              </w:rPr>
              <w:tab/>
            </w:r>
            <w:r>
              <w:rPr>
                <w:noProof/>
                <w:webHidden/>
              </w:rPr>
              <w:fldChar w:fldCharType="begin"/>
            </w:r>
            <w:r>
              <w:rPr>
                <w:noProof/>
                <w:webHidden/>
              </w:rPr>
              <w:instrText xml:space="preserve"> PAGEREF _Toc234734940 \h </w:instrText>
            </w:r>
            <w:r>
              <w:rPr>
                <w:noProof/>
                <w:webHidden/>
              </w:rPr>
            </w:r>
            <w:r>
              <w:rPr>
                <w:noProof/>
                <w:webHidden/>
              </w:rPr>
              <w:fldChar w:fldCharType="separate"/>
            </w:r>
            <w:r>
              <w:rPr>
                <w:noProof/>
                <w:webHidden/>
              </w:rPr>
              <w:t>7</w:t>
            </w:r>
            <w:r>
              <w:rPr>
                <w:noProof/>
                <w:webHidden/>
              </w:rPr>
              <w:fldChar w:fldCharType="end"/>
            </w:r>
          </w:hyperlink>
        </w:p>
        <w:p w14:paraId="190581C4" w14:textId="49259FEC"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1" w:history="1">
            <w:r w:rsidRPr="0033246F">
              <w:rPr>
                <w:rStyle w:val="Lienhypertexte"/>
                <w:noProof/>
              </w:rPr>
              <w:t>2.</w:t>
            </w:r>
            <w:r>
              <w:rPr>
                <w:rFonts w:asciiTheme="minorHAnsi" w:eastAsiaTheme="minorEastAsia" w:hAnsiTheme="minorHAnsi"/>
                <w:noProof/>
                <w:kern w:val="2"/>
                <w:sz w:val="24"/>
                <w:szCs w:val="24"/>
                <w:lang w:eastAsia="fr-FR"/>
                <w14:ligatures w14:val="standardContextual"/>
              </w:rPr>
              <w:tab/>
            </w:r>
            <w:r w:rsidRPr="0033246F">
              <w:rPr>
                <w:rStyle w:val="Lienhypertexte"/>
                <w:noProof/>
              </w:rPr>
              <w:t>La forme du mandat</w:t>
            </w:r>
            <w:r>
              <w:rPr>
                <w:noProof/>
                <w:webHidden/>
              </w:rPr>
              <w:tab/>
            </w:r>
            <w:r>
              <w:rPr>
                <w:noProof/>
                <w:webHidden/>
              </w:rPr>
              <w:fldChar w:fldCharType="begin"/>
            </w:r>
            <w:r>
              <w:rPr>
                <w:noProof/>
                <w:webHidden/>
              </w:rPr>
              <w:instrText xml:space="preserve"> PAGEREF _Toc234734941 \h </w:instrText>
            </w:r>
            <w:r>
              <w:rPr>
                <w:noProof/>
                <w:webHidden/>
              </w:rPr>
            </w:r>
            <w:r>
              <w:rPr>
                <w:noProof/>
                <w:webHidden/>
              </w:rPr>
              <w:fldChar w:fldCharType="separate"/>
            </w:r>
            <w:r>
              <w:rPr>
                <w:noProof/>
                <w:webHidden/>
              </w:rPr>
              <w:t>9</w:t>
            </w:r>
            <w:r>
              <w:rPr>
                <w:noProof/>
                <w:webHidden/>
              </w:rPr>
              <w:fldChar w:fldCharType="end"/>
            </w:r>
          </w:hyperlink>
        </w:p>
        <w:p w14:paraId="03500842" w14:textId="7905B359"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2" w:history="1">
            <w:r w:rsidRPr="0033246F">
              <w:rPr>
                <w:rStyle w:val="Lienhypertexte"/>
                <w:noProof/>
              </w:rPr>
              <w:t>3.</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Les règles communes aux différents mandats</w:t>
            </w:r>
            <w:r>
              <w:rPr>
                <w:noProof/>
                <w:webHidden/>
              </w:rPr>
              <w:tab/>
            </w:r>
            <w:r>
              <w:rPr>
                <w:noProof/>
                <w:webHidden/>
              </w:rPr>
              <w:fldChar w:fldCharType="begin"/>
            </w:r>
            <w:r>
              <w:rPr>
                <w:noProof/>
                <w:webHidden/>
              </w:rPr>
              <w:instrText xml:space="preserve"> PAGEREF _Toc234734942 \h </w:instrText>
            </w:r>
            <w:r>
              <w:rPr>
                <w:noProof/>
                <w:webHidden/>
              </w:rPr>
            </w:r>
            <w:r>
              <w:rPr>
                <w:noProof/>
                <w:webHidden/>
              </w:rPr>
              <w:fldChar w:fldCharType="separate"/>
            </w:r>
            <w:r>
              <w:rPr>
                <w:noProof/>
                <w:webHidden/>
              </w:rPr>
              <w:t>11</w:t>
            </w:r>
            <w:r>
              <w:rPr>
                <w:noProof/>
                <w:webHidden/>
              </w:rPr>
              <w:fldChar w:fldCharType="end"/>
            </w:r>
          </w:hyperlink>
        </w:p>
        <w:p w14:paraId="30598D77" w14:textId="234DEB92"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3" w:history="1">
            <w:r w:rsidRPr="0033246F">
              <w:rPr>
                <w:rStyle w:val="Lienhypertexte"/>
                <w:noProof/>
              </w:rPr>
              <w:t>4.</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L'exécution du mandat : le contrôle du greffier du tribunal d'instance</w:t>
            </w:r>
            <w:r>
              <w:rPr>
                <w:noProof/>
                <w:webHidden/>
              </w:rPr>
              <w:tab/>
            </w:r>
            <w:r>
              <w:rPr>
                <w:noProof/>
                <w:webHidden/>
              </w:rPr>
              <w:fldChar w:fldCharType="begin"/>
            </w:r>
            <w:r>
              <w:rPr>
                <w:noProof/>
                <w:webHidden/>
              </w:rPr>
              <w:instrText xml:space="preserve"> PAGEREF _Toc234734943 \h </w:instrText>
            </w:r>
            <w:r>
              <w:rPr>
                <w:noProof/>
                <w:webHidden/>
              </w:rPr>
            </w:r>
            <w:r>
              <w:rPr>
                <w:noProof/>
                <w:webHidden/>
              </w:rPr>
              <w:fldChar w:fldCharType="separate"/>
            </w:r>
            <w:r>
              <w:rPr>
                <w:noProof/>
                <w:webHidden/>
              </w:rPr>
              <w:t>12</w:t>
            </w:r>
            <w:r>
              <w:rPr>
                <w:noProof/>
                <w:webHidden/>
              </w:rPr>
              <w:fldChar w:fldCharType="end"/>
            </w:r>
          </w:hyperlink>
        </w:p>
        <w:p w14:paraId="7694DEA1" w14:textId="304B92F9"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4" w:history="1">
            <w:r w:rsidRPr="0033246F">
              <w:rPr>
                <w:rStyle w:val="Lienhypertexte"/>
                <w:noProof/>
              </w:rPr>
              <w:t>5.</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Les règles communes aux différents mandats</w:t>
            </w:r>
            <w:r>
              <w:rPr>
                <w:noProof/>
                <w:webHidden/>
              </w:rPr>
              <w:tab/>
            </w:r>
            <w:r>
              <w:rPr>
                <w:noProof/>
                <w:webHidden/>
              </w:rPr>
              <w:fldChar w:fldCharType="begin"/>
            </w:r>
            <w:r>
              <w:rPr>
                <w:noProof/>
                <w:webHidden/>
              </w:rPr>
              <w:instrText xml:space="preserve"> PAGEREF _Toc234734944 \h </w:instrText>
            </w:r>
            <w:r>
              <w:rPr>
                <w:noProof/>
                <w:webHidden/>
              </w:rPr>
            </w:r>
            <w:r>
              <w:rPr>
                <w:noProof/>
                <w:webHidden/>
              </w:rPr>
              <w:fldChar w:fldCharType="separate"/>
            </w:r>
            <w:r>
              <w:rPr>
                <w:noProof/>
                <w:webHidden/>
              </w:rPr>
              <w:t>12</w:t>
            </w:r>
            <w:r>
              <w:rPr>
                <w:noProof/>
                <w:webHidden/>
              </w:rPr>
              <w:fldChar w:fldCharType="end"/>
            </w:r>
          </w:hyperlink>
        </w:p>
        <w:p w14:paraId="482DB382" w14:textId="131494A1"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5" w:history="1">
            <w:r w:rsidRPr="0033246F">
              <w:rPr>
                <w:rStyle w:val="Lienhypertexte"/>
                <w:noProof/>
              </w:rPr>
              <w:t>6.</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 rôle spécifique du ou des mandataires</w:t>
            </w:r>
            <w:r>
              <w:rPr>
                <w:noProof/>
                <w:webHidden/>
              </w:rPr>
              <w:tab/>
            </w:r>
            <w:r>
              <w:rPr>
                <w:noProof/>
                <w:webHidden/>
              </w:rPr>
              <w:fldChar w:fldCharType="begin"/>
            </w:r>
            <w:r>
              <w:rPr>
                <w:noProof/>
                <w:webHidden/>
              </w:rPr>
              <w:instrText xml:space="preserve"> PAGEREF _Toc234734945 \h </w:instrText>
            </w:r>
            <w:r>
              <w:rPr>
                <w:noProof/>
                <w:webHidden/>
              </w:rPr>
            </w:r>
            <w:r>
              <w:rPr>
                <w:noProof/>
                <w:webHidden/>
              </w:rPr>
              <w:fldChar w:fldCharType="separate"/>
            </w:r>
            <w:r>
              <w:rPr>
                <w:noProof/>
                <w:webHidden/>
              </w:rPr>
              <w:t>13</w:t>
            </w:r>
            <w:r>
              <w:rPr>
                <w:noProof/>
                <w:webHidden/>
              </w:rPr>
              <w:fldChar w:fldCharType="end"/>
            </w:r>
          </w:hyperlink>
        </w:p>
        <w:p w14:paraId="1C4C6728" w14:textId="0802E863"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6" w:history="1">
            <w:r w:rsidRPr="0033246F">
              <w:rPr>
                <w:rStyle w:val="Lienhypertexte"/>
                <w:noProof/>
              </w:rPr>
              <w:t>7.</w:t>
            </w:r>
            <w:r>
              <w:rPr>
                <w:rFonts w:asciiTheme="minorHAnsi" w:eastAsiaTheme="minorEastAsia" w:hAnsiTheme="minorHAnsi"/>
                <w:noProof/>
                <w:kern w:val="2"/>
                <w:sz w:val="24"/>
                <w:szCs w:val="24"/>
                <w:lang w:eastAsia="fr-FR"/>
                <w14:ligatures w14:val="standardContextual"/>
              </w:rPr>
              <w:tab/>
            </w:r>
            <w:r w:rsidRPr="0033246F">
              <w:rPr>
                <w:rStyle w:val="Lienhypertexte"/>
                <w:noProof/>
              </w:rPr>
              <w:t>La fin du mandat de protection future</w:t>
            </w:r>
            <w:r>
              <w:rPr>
                <w:noProof/>
                <w:webHidden/>
              </w:rPr>
              <w:tab/>
            </w:r>
            <w:r>
              <w:rPr>
                <w:noProof/>
                <w:webHidden/>
              </w:rPr>
              <w:fldChar w:fldCharType="begin"/>
            </w:r>
            <w:r>
              <w:rPr>
                <w:noProof/>
                <w:webHidden/>
              </w:rPr>
              <w:instrText xml:space="preserve"> PAGEREF _Toc234734946 \h </w:instrText>
            </w:r>
            <w:r>
              <w:rPr>
                <w:noProof/>
                <w:webHidden/>
              </w:rPr>
            </w:r>
            <w:r>
              <w:rPr>
                <w:noProof/>
                <w:webHidden/>
              </w:rPr>
              <w:fldChar w:fldCharType="separate"/>
            </w:r>
            <w:r>
              <w:rPr>
                <w:noProof/>
                <w:webHidden/>
              </w:rPr>
              <w:t>14</w:t>
            </w:r>
            <w:r>
              <w:rPr>
                <w:noProof/>
                <w:webHidden/>
              </w:rPr>
              <w:fldChar w:fldCharType="end"/>
            </w:r>
          </w:hyperlink>
        </w:p>
        <w:p w14:paraId="3A1E36B5" w14:textId="13E79800"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47" w:history="1">
            <w:r w:rsidRPr="0033246F">
              <w:rPr>
                <w:rStyle w:val="Lienhypertexte"/>
                <w:noProof/>
              </w:rPr>
              <w:t>8.</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Les personnes concernées par le mandat</w:t>
            </w:r>
            <w:r>
              <w:rPr>
                <w:noProof/>
                <w:webHidden/>
              </w:rPr>
              <w:tab/>
            </w:r>
            <w:r>
              <w:rPr>
                <w:noProof/>
                <w:webHidden/>
              </w:rPr>
              <w:fldChar w:fldCharType="begin"/>
            </w:r>
            <w:r>
              <w:rPr>
                <w:noProof/>
                <w:webHidden/>
              </w:rPr>
              <w:instrText xml:space="preserve"> PAGEREF _Toc234734947 \h </w:instrText>
            </w:r>
            <w:r>
              <w:rPr>
                <w:noProof/>
                <w:webHidden/>
              </w:rPr>
            </w:r>
            <w:r>
              <w:rPr>
                <w:noProof/>
                <w:webHidden/>
              </w:rPr>
              <w:fldChar w:fldCharType="separate"/>
            </w:r>
            <w:r>
              <w:rPr>
                <w:noProof/>
                <w:webHidden/>
              </w:rPr>
              <w:t>16</w:t>
            </w:r>
            <w:r>
              <w:rPr>
                <w:noProof/>
                <w:webHidden/>
              </w:rPr>
              <w:fldChar w:fldCharType="end"/>
            </w:r>
          </w:hyperlink>
        </w:p>
        <w:p w14:paraId="34259B0A" w14:textId="550BFC9D" w:rsidR="00671A5F" w:rsidRDefault="00671A5F">
          <w:pPr>
            <w:pStyle w:val="TM3"/>
            <w:tabs>
              <w:tab w:val="left" w:pos="1200"/>
              <w:tab w:val="right" w:leader="dot" w:pos="12950"/>
            </w:tabs>
            <w:rPr>
              <w:rFonts w:asciiTheme="minorHAnsi" w:eastAsiaTheme="minorEastAsia" w:hAnsiTheme="minorHAnsi"/>
              <w:noProof/>
              <w:kern w:val="2"/>
              <w:sz w:val="24"/>
              <w:szCs w:val="24"/>
              <w:lang w:eastAsia="fr-FR"/>
              <w14:ligatures w14:val="standardContextual"/>
            </w:rPr>
          </w:pPr>
          <w:hyperlink w:anchor="_Toc234734948" w:history="1">
            <w:r w:rsidRPr="0033246F">
              <w:rPr>
                <w:rStyle w:val="Lienhypertexte"/>
                <w:noProof/>
              </w:rPr>
              <w:t>A.</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Les particuliers</w:t>
            </w:r>
            <w:r>
              <w:rPr>
                <w:noProof/>
                <w:webHidden/>
              </w:rPr>
              <w:tab/>
            </w:r>
            <w:r>
              <w:rPr>
                <w:noProof/>
                <w:webHidden/>
              </w:rPr>
              <w:fldChar w:fldCharType="begin"/>
            </w:r>
            <w:r>
              <w:rPr>
                <w:noProof/>
                <w:webHidden/>
              </w:rPr>
              <w:instrText xml:space="preserve"> PAGEREF _Toc234734948 \h </w:instrText>
            </w:r>
            <w:r>
              <w:rPr>
                <w:noProof/>
                <w:webHidden/>
              </w:rPr>
            </w:r>
            <w:r>
              <w:rPr>
                <w:noProof/>
                <w:webHidden/>
              </w:rPr>
              <w:fldChar w:fldCharType="separate"/>
            </w:r>
            <w:r>
              <w:rPr>
                <w:noProof/>
                <w:webHidden/>
              </w:rPr>
              <w:t>17</w:t>
            </w:r>
            <w:r>
              <w:rPr>
                <w:noProof/>
                <w:webHidden/>
              </w:rPr>
              <w:fldChar w:fldCharType="end"/>
            </w:r>
          </w:hyperlink>
        </w:p>
        <w:p w14:paraId="21B9ADF2" w14:textId="01145F4F" w:rsidR="00671A5F" w:rsidRDefault="00671A5F">
          <w:pPr>
            <w:pStyle w:val="TM3"/>
            <w:tabs>
              <w:tab w:val="left" w:pos="1200"/>
              <w:tab w:val="right" w:leader="dot" w:pos="12950"/>
            </w:tabs>
            <w:rPr>
              <w:rFonts w:asciiTheme="minorHAnsi" w:eastAsiaTheme="minorEastAsia" w:hAnsiTheme="minorHAnsi"/>
              <w:noProof/>
              <w:kern w:val="2"/>
              <w:sz w:val="24"/>
              <w:szCs w:val="24"/>
              <w:lang w:eastAsia="fr-FR"/>
              <w14:ligatures w14:val="standardContextual"/>
            </w:rPr>
          </w:pPr>
          <w:hyperlink w:anchor="_Toc234734949" w:history="1">
            <w:r w:rsidRPr="0033246F">
              <w:rPr>
                <w:rStyle w:val="Lienhypertexte"/>
                <w:noProof/>
              </w:rPr>
              <w:t>B.</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Les chefs d’entreprise</w:t>
            </w:r>
            <w:r>
              <w:rPr>
                <w:noProof/>
                <w:webHidden/>
              </w:rPr>
              <w:tab/>
            </w:r>
            <w:r>
              <w:rPr>
                <w:noProof/>
                <w:webHidden/>
              </w:rPr>
              <w:fldChar w:fldCharType="begin"/>
            </w:r>
            <w:r>
              <w:rPr>
                <w:noProof/>
                <w:webHidden/>
              </w:rPr>
              <w:instrText xml:space="preserve"> PAGEREF _Toc234734949 \h </w:instrText>
            </w:r>
            <w:r>
              <w:rPr>
                <w:noProof/>
                <w:webHidden/>
              </w:rPr>
            </w:r>
            <w:r>
              <w:rPr>
                <w:noProof/>
                <w:webHidden/>
              </w:rPr>
              <w:fldChar w:fldCharType="separate"/>
            </w:r>
            <w:r>
              <w:rPr>
                <w:noProof/>
                <w:webHidden/>
              </w:rPr>
              <w:t>18</w:t>
            </w:r>
            <w:r>
              <w:rPr>
                <w:noProof/>
                <w:webHidden/>
              </w:rPr>
              <w:fldChar w:fldCharType="end"/>
            </w:r>
          </w:hyperlink>
        </w:p>
        <w:p w14:paraId="6B52D230" w14:textId="5CC63B92" w:rsidR="00671A5F" w:rsidRDefault="00671A5F">
          <w:pPr>
            <w:pStyle w:val="TM1"/>
            <w:rPr>
              <w:rFonts w:asciiTheme="minorHAnsi" w:eastAsiaTheme="minorEastAsia" w:hAnsiTheme="minorHAnsi" w:cstheme="minorBidi"/>
              <w:b w:val="0"/>
              <w:bCs w:val="0"/>
              <w:i w:val="0"/>
              <w:iCs w:val="0"/>
              <w:noProof/>
              <w:kern w:val="2"/>
              <w:sz w:val="24"/>
              <w:lang w:eastAsia="fr-FR"/>
              <w14:ligatures w14:val="standardContextual"/>
            </w:rPr>
          </w:pPr>
          <w:hyperlink w:anchor="_Toc234734950" w:history="1">
            <w:r w:rsidRPr="0033246F">
              <w:rPr>
                <w:rStyle w:val="Lienhypertexte"/>
                <w:noProof/>
              </w:rPr>
              <w:t>III.</w:t>
            </w:r>
            <w:r>
              <w:rPr>
                <w:rFonts w:asciiTheme="minorHAnsi" w:eastAsiaTheme="minorEastAsia" w:hAnsiTheme="minorHAnsi" w:cstheme="minorBidi"/>
                <w:b w:val="0"/>
                <w:bCs w:val="0"/>
                <w:i w:val="0"/>
                <w:iCs w:val="0"/>
                <w:noProof/>
                <w:kern w:val="2"/>
                <w:sz w:val="24"/>
                <w:lang w:eastAsia="fr-FR"/>
                <w14:ligatures w14:val="standardContextual"/>
              </w:rPr>
              <w:tab/>
            </w:r>
            <w:r w:rsidRPr="0033246F">
              <w:rPr>
                <w:rStyle w:val="Lienhypertexte"/>
                <w:noProof/>
              </w:rPr>
              <w:t>Les autres outils d’anticipation de la vulnérabilité</w:t>
            </w:r>
            <w:r>
              <w:rPr>
                <w:noProof/>
                <w:webHidden/>
              </w:rPr>
              <w:tab/>
            </w:r>
            <w:r>
              <w:rPr>
                <w:noProof/>
                <w:webHidden/>
              </w:rPr>
              <w:fldChar w:fldCharType="begin"/>
            </w:r>
            <w:r>
              <w:rPr>
                <w:noProof/>
                <w:webHidden/>
              </w:rPr>
              <w:instrText xml:space="preserve"> PAGEREF _Toc234734950 \h </w:instrText>
            </w:r>
            <w:r>
              <w:rPr>
                <w:noProof/>
                <w:webHidden/>
              </w:rPr>
            </w:r>
            <w:r>
              <w:rPr>
                <w:noProof/>
                <w:webHidden/>
              </w:rPr>
              <w:fldChar w:fldCharType="separate"/>
            </w:r>
            <w:r>
              <w:rPr>
                <w:noProof/>
                <w:webHidden/>
              </w:rPr>
              <w:t>19</w:t>
            </w:r>
            <w:r>
              <w:rPr>
                <w:noProof/>
                <w:webHidden/>
              </w:rPr>
              <w:fldChar w:fldCharType="end"/>
            </w:r>
          </w:hyperlink>
        </w:p>
        <w:p w14:paraId="63565AE5" w14:textId="554648BF"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51" w:history="1">
            <w:r w:rsidRPr="0033246F">
              <w:rPr>
                <w:rStyle w:val="Lienhypertexte"/>
                <w:noProof/>
              </w:rPr>
              <w:t>1.</w:t>
            </w:r>
            <w:r>
              <w:rPr>
                <w:rFonts w:asciiTheme="minorHAnsi" w:eastAsiaTheme="minorEastAsia" w:hAnsiTheme="minorHAnsi"/>
                <w:noProof/>
                <w:kern w:val="2"/>
                <w:sz w:val="24"/>
                <w:szCs w:val="24"/>
                <w:lang w:eastAsia="fr-FR"/>
                <w14:ligatures w14:val="standardContextual"/>
              </w:rPr>
              <w:tab/>
            </w:r>
            <w:r w:rsidRPr="0033246F">
              <w:rPr>
                <w:rStyle w:val="Lienhypertexte"/>
                <w:noProof/>
              </w:rPr>
              <w:t>La sécurisation des actes passés avant la mise sous protection</w:t>
            </w:r>
            <w:r>
              <w:rPr>
                <w:noProof/>
                <w:webHidden/>
              </w:rPr>
              <w:tab/>
            </w:r>
            <w:r>
              <w:rPr>
                <w:noProof/>
                <w:webHidden/>
              </w:rPr>
              <w:fldChar w:fldCharType="begin"/>
            </w:r>
            <w:r>
              <w:rPr>
                <w:noProof/>
                <w:webHidden/>
              </w:rPr>
              <w:instrText xml:space="preserve"> PAGEREF _Toc234734951 \h </w:instrText>
            </w:r>
            <w:r>
              <w:rPr>
                <w:noProof/>
                <w:webHidden/>
              </w:rPr>
            </w:r>
            <w:r>
              <w:rPr>
                <w:noProof/>
                <w:webHidden/>
              </w:rPr>
              <w:fldChar w:fldCharType="separate"/>
            </w:r>
            <w:r>
              <w:rPr>
                <w:noProof/>
                <w:webHidden/>
              </w:rPr>
              <w:t>20</w:t>
            </w:r>
            <w:r>
              <w:rPr>
                <w:noProof/>
                <w:webHidden/>
              </w:rPr>
              <w:fldChar w:fldCharType="end"/>
            </w:r>
          </w:hyperlink>
        </w:p>
        <w:p w14:paraId="02E9ECEB" w14:textId="315EB523" w:rsidR="00671A5F" w:rsidRDefault="00671A5F">
          <w:pPr>
            <w:pStyle w:val="TM3"/>
            <w:tabs>
              <w:tab w:val="left" w:pos="1200"/>
              <w:tab w:val="right" w:leader="dot" w:pos="12950"/>
            </w:tabs>
            <w:rPr>
              <w:rFonts w:asciiTheme="minorHAnsi" w:eastAsiaTheme="minorEastAsia" w:hAnsiTheme="minorHAnsi"/>
              <w:noProof/>
              <w:kern w:val="2"/>
              <w:sz w:val="24"/>
              <w:szCs w:val="24"/>
              <w:lang w:eastAsia="fr-FR"/>
              <w14:ligatures w14:val="standardContextual"/>
            </w:rPr>
          </w:pPr>
          <w:hyperlink w:anchor="_Toc234734952" w:history="1">
            <w:r w:rsidRPr="0033246F">
              <w:rPr>
                <w:rStyle w:val="Lienhypertexte"/>
                <w:noProof/>
              </w:rPr>
              <w:t>A.</w:t>
            </w:r>
            <w:r>
              <w:rPr>
                <w:rFonts w:asciiTheme="minorHAnsi" w:eastAsiaTheme="minorEastAsia" w:hAnsiTheme="minorHAnsi"/>
                <w:noProof/>
                <w:kern w:val="2"/>
                <w:sz w:val="24"/>
                <w:szCs w:val="24"/>
                <w:lang w:eastAsia="fr-FR"/>
                <w14:ligatures w14:val="standardContextual"/>
              </w:rPr>
              <w:tab/>
            </w:r>
            <w:r w:rsidRPr="0033246F">
              <w:rPr>
                <w:rStyle w:val="Lienhypertexte"/>
                <w:noProof/>
              </w:rPr>
              <w:t>Par la rédaction précoce de certains actes</w:t>
            </w:r>
            <w:r>
              <w:rPr>
                <w:noProof/>
                <w:webHidden/>
              </w:rPr>
              <w:tab/>
            </w:r>
            <w:r>
              <w:rPr>
                <w:noProof/>
                <w:webHidden/>
              </w:rPr>
              <w:fldChar w:fldCharType="begin"/>
            </w:r>
            <w:r>
              <w:rPr>
                <w:noProof/>
                <w:webHidden/>
              </w:rPr>
              <w:instrText xml:space="preserve"> PAGEREF _Toc234734952 \h </w:instrText>
            </w:r>
            <w:r>
              <w:rPr>
                <w:noProof/>
                <w:webHidden/>
              </w:rPr>
            </w:r>
            <w:r>
              <w:rPr>
                <w:noProof/>
                <w:webHidden/>
              </w:rPr>
              <w:fldChar w:fldCharType="separate"/>
            </w:r>
            <w:r>
              <w:rPr>
                <w:noProof/>
                <w:webHidden/>
              </w:rPr>
              <w:t>20</w:t>
            </w:r>
            <w:r>
              <w:rPr>
                <w:noProof/>
                <w:webHidden/>
              </w:rPr>
              <w:fldChar w:fldCharType="end"/>
            </w:r>
          </w:hyperlink>
        </w:p>
        <w:p w14:paraId="6332B229" w14:textId="5B4A625C" w:rsidR="00671A5F" w:rsidRDefault="00671A5F">
          <w:pPr>
            <w:pStyle w:val="TM3"/>
            <w:tabs>
              <w:tab w:val="left" w:pos="1200"/>
              <w:tab w:val="right" w:leader="dot" w:pos="12950"/>
            </w:tabs>
            <w:rPr>
              <w:rFonts w:asciiTheme="minorHAnsi" w:eastAsiaTheme="minorEastAsia" w:hAnsiTheme="minorHAnsi"/>
              <w:noProof/>
              <w:kern w:val="2"/>
              <w:sz w:val="24"/>
              <w:szCs w:val="24"/>
              <w:lang w:eastAsia="fr-FR"/>
              <w14:ligatures w14:val="standardContextual"/>
            </w:rPr>
          </w:pPr>
          <w:hyperlink w:anchor="_Toc234734953" w:history="1">
            <w:r w:rsidRPr="0033246F">
              <w:rPr>
                <w:rStyle w:val="Lienhypertexte"/>
                <w:noProof/>
              </w:rPr>
              <w:t>B.</w:t>
            </w:r>
            <w:r>
              <w:rPr>
                <w:rFonts w:asciiTheme="minorHAnsi" w:eastAsiaTheme="minorEastAsia" w:hAnsiTheme="minorHAnsi"/>
                <w:noProof/>
                <w:kern w:val="2"/>
                <w:sz w:val="24"/>
                <w:szCs w:val="24"/>
                <w:lang w:eastAsia="fr-FR"/>
                <w14:ligatures w14:val="standardContextual"/>
              </w:rPr>
              <w:tab/>
            </w:r>
            <w:r w:rsidRPr="0033246F">
              <w:rPr>
                <w:rStyle w:val="Lienhypertexte"/>
                <w:noProof/>
              </w:rPr>
              <w:t>Par la rédaction d’un certificat médical</w:t>
            </w:r>
            <w:r>
              <w:rPr>
                <w:noProof/>
                <w:webHidden/>
              </w:rPr>
              <w:tab/>
            </w:r>
            <w:r>
              <w:rPr>
                <w:noProof/>
                <w:webHidden/>
              </w:rPr>
              <w:fldChar w:fldCharType="begin"/>
            </w:r>
            <w:r>
              <w:rPr>
                <w:noProof/>
                <w:webHidden/>
              </w:rPr>
              <w:instrText xml:space="preserve"> PAGEREF _Toc234734953 \h </w:instrText>
            </w:r>
            <w:r>
              <w:rPr>
                <w:noProof/>
                <w:webHidden/>
              </w:rPr>
            </w:r>
            <w:r>
              <w:rPr>
                <w:noProof/>
                <w:webHidden/>
              </w:rPr>
              <w:fldChar w:fldCharType="separate"/>
            </w:r>
            <w:r>
              <w:rPr>
                <w:noProof/>
                <w:webHidden/>
              </w:rPr>
              <w:t>21</w:t>
            </w:r>
            <w:r>
              <w:rPr>
                <w:noProof/>
                <w:webHidden/>
              </w:rPr>
              <w:fldChar w:fldCharType="end"/>
            </w:r>
          </w:hyperlink>
        </w:p>
        <w:p w14:paraId="2AE9B0FB" w14:textId="1E523E08"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54" w:history="1">
            <w:r w:rsidRPr="0033246F">
              <w:rPr>
                <w:rStyle w:val="Lienhypertexte"/>
                <w:noProof/>
              </w:rPr>
              <w:t>2.</w:t>
            </w:r>
            <w:r>
              <w:rPr>
                <w:rFonts w:asciiTheme="minorHAnsi" w:eastAsiaTheme="minorEastAsia" w:hAnsiTheme="minorHAnsi"/>
                <w:noProof/>
                <w:kern w:val="2"/>
                <w:sz w:val="24"/>
                <w:szCs w:val="24"/>
                <w:lang w:eastAsia="fr-FR"/>
                <w14:ligatures w14:val="standardContextual"/>
              </w:rPr>
              <w:tab/>
            </w:r>
            <w:r w:rsidRPr="0033246F">
              <w:rPr>
                <w:rStyle w:val="Lienhypertexte"/>
                <w:noProof/>
              </w:rPr>
              <w:t>La désignation d’une personne de confiance</w:t>
            </w:r>
            <w:r>
              <w:rPr>
                <w:noProof/>
                <w:webHidden/>
              </w:rPr>
              <w:tab/>
            </w:r>
            <w:r>
              <w:rPr>
                <w:noProof/>
                <w:webHidden/>
              </w:rPr>
              <w:fldChar w:fldCharType="begin"/>
            </w:r>
            <w:r>
              <w:rPr>
                <w:noProof/>
                <w:webHidden/>
              </w:rPr>
              <w:instrText xml:space="preserve"> PAGEREF _Toc234734954 \h </w:instrText>
            </w:r>
            <w:r>
              <w:rPr>
                <w:noProof/>
                <w:webHidden/>
              </w:rPr>
            </w:r>
            <w:r>
              <w:rPr>
                <w:noProof/>
                <w:webHidden/>
              </w:rPr>
              <w:fldChar w:fldCharType="separate"/>
            </w:r>
            <w:r>
              <w:rPr>
                <w:noProof/>
                <w:webHidden/>
              </w:rPr>
              <w:t>22</w:t>
            </w:r>
            <w:r>
              <w:rPr>
                <w:noProof/>
                <w:webHidden/>
              </w:rPr>
              <w:fldChar w:fldCharType="end"/>
            </w:r>
          </w:hyperlink>
        </w:p>
        <w:p w14:paraId="62374EBE" w14:textId="48B8B0DC"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55" w:history="1">
            <w:r w:rsidRPr="0033246F">
              <w:rPr>
                <w:rStyle w:val="Lienhypertexte"/>
                <w:noProof/>
              </w:rPr>
              <w:t>3.</w:t>
            </w:r>
            <w:r>
              <w:rPr>
                <w:rFonts w:asciiTheme="minorHAnsi" w:eastAsiaTheme="minorEastAsia" w:hAnsiTheme="minorHAnsi"/>
                <w:noProof/>
                <w:kern w:val="2"/>
                <w:sz w:val="24"/>
                <w:szCs w:val="24"/>
                <w:lang w:eastAsia="fr-FR"/>
                <w14:ligatures w14:val="standardContextual"/>
              </w:rPr>
              <w:tab/>
            </w:r>
            <w:r w:rsidRPr="0033246F">
              <w:rPr>
                <w:rStyle w:val="Lienhypertexte"/>
                <w:noProof/>
              </w:rPr>
              <w:t>La rédaction de directives anticipées</w:t>
            </w:r>
            <w:r>
              <w:rPr>
                <w:noProof/>
                <w:webHidden/>
              </w:rPr>
              <w:tab/>
            </w:r>
            <w:r>
              <w:rPr>
                <w:noProof/>
                <w:webHidden/>
              </w:rPr>
              <w:fldChar w:fldCharType="begin"/>
            </w:r>
            <w:r>
              <w:rPr>
                <w:noProof/>
                <w:webHidden/>
              </w:rPr>
              <w:instrText xml:space="preserve"> PAGEREF _Toc234734955 \h </w:instrText>
            </w:r>
            <w:r>
              <w:rPr>
                <w:noProof/>
                <w:webHidden/>
              </w:rPr>
            </w:r>
            <w:r>
              <w:rPr>
                <w:noProof/>
                <w:webHidden/>
              </w:rPr>
              <w:fldChar w:fldCharType="separate"/>
            </w:r>
            <w:r>
              <w:rPr>
                <w:noProof/>
                <w:webHidden/>
              </w:rPr>
              <w:t>23</w:t>
            </w:r>
            <w:r>
              <w:rPr>
                <w:noProof/>
                <w:webHidden/>
              </w:rPr>
              <w:fldChar w:fldCharType="end"/>
            </w:r>
          </w:hyperlink>
        </w:p>
        <w:p w14:paraId="7ED4CCC0" w14:textId="08E9FCFC"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56" w:history="1">
            <w:r w:rsidRPr="0033246F">
              <w:rPr>
                <w:rStyle w:val="Lienhypertexte"/>
                <w:noProof/>
              </w:rPr>
              <w:t>4.</w:t>
            </w:r>
            <w:r>
              <w:rPr>
                <w:rFonts w:asciiTheme="minorHAnsi" w:eastAsiaTheme="minorEastAsia" w:hAnsiTheme="minorHAnsi"/>
                <w:noProof/>
                <w:kern w:val="2"/>
                <w:sz w:val="24"/>
                <w:szCs w:val="24"/>
                <w:lang w:eastAsia="fr-FR"/>
                <w14:ligatures w14:val="standardContextual"/>
              </w:rPr>
              <w:tab/>
            </w:r>
            <w:r w:rsidRPr="0033246F">
              <w:rPr>
                <w:rStyle w:val="Lienhypertexte"/>
                <w:noProof/>
              </w:rPr>
              <w:t>La désignation anticipée de la personne chargée de la mesure de protection judiciaire</w:t>
            </w:r>
            <w:r>
              <w:rPr>
                <w:noProof/>
                <w:webHidden/>
              </w:rPr>
              <w:tab/>
            </w:r>
            <w:r>
              <w:rPr>
                <w:noProof/>
                <w:webHidden/>
              </w:rPr>
              <w:fldChar w:fldCharType="begin"/>
            </w:r>
            <w:r>
              <w:rPr>
                <w:noProof/>
                <w:webHidden/>
              </w:rPr>
              <w:instrText xml:space="preserve"> PAGEREF _Toc234734956 \h </w:instrText>
            </w:r>
            <w:r>
              <w:rPr>
                <w:noProof/>
                <w:webHidden/>
              </w:rPr>
            </w:r>
            <w:r>
              <w:rPr>
                <w:noProof/>
                <w:webHidden/>
              </w:rPr>
              <w:fldChar w:fldCharType="separate"/>
            </w:r>
            <w:r>
              <w:rPr>
                <w:noProof/>
                <w:webHidden/>
              </w:rPr>
              <w:t>25</w:t>
            </w:r>
            <w:r>
              <w:rPr>
                <w:noProof/>
                <w:webHidden/>
              </w:rPr>
              <w:fldChar w:fldCharType="end"/>
            </w:r>
          </w:hyperlink>
        </w:p>
        <w:p w14:paraId="44BFDA03" w14:textId="3BC75AC0" w:rsidR="00671A5F" w:rsidRDefault="00671A5F">
          <w:pPr>
            <w:pStyle w:val="TM2"/>
            <w:tabs>
              <w:tab w:val="left" w:pos="960"/>
              <w:tab w:val="right" w:leader="dot" w:pos="12950"/>
            </w:tabs>
            <w:rPr>
              <w:rFonts w:asciiTheme="minorHAnsi" w:eastAsiaTheme="minorEastAsia" w:hAnsiTheme="minorHAnsi"/>
              <w:noProof/>
              <w:kern w:val="2"/>
              <w:sz w:val="24"/>
              <w:szCs w:val="24"/>
              <w:lang w:eastAsia="fr-FR"/>
              <w14:ligatures w14:val="standardContextual"/>
            </w:rPr>
          </w:pPr>
          <w:hyperlink w:anchor="_Toc234734957" w:history="1">
            <w:r w:rsidRPr="0033246F">
              <w:rPr>
                <w:rStyle w:val="Lienhypertexte"/>
                <w:noProof/>
              </w:rPr>
              <w:t>5.</w:t>
            </w:r>
            <w:r>
              <w:rPr>
                <w:rFonts w:asciiTheme="minorHAnsi" w:eastAsiaTheme="minorEastAsia" w:hAnsiTheme="minorHAnsi"/>
                <w:noProof/>
                <w:kern w:val="2"/>
                <w:sz w:val="24"/>
                <w:szCs w:val="24"/>
                <w:lang w:eastAsia="fr-FR"/>
                <w14:ligatures w14:val="standardContextual"/>
              </w:rPr>
              <w:tab/>
            </w:r>
            <w:r w:rsidRPr="0033246F">
              <w:rPr>
                <w:rStyle w:val="Lienhypertexte"/>
                <w:noProof/>
              </w:rPr>
              <w:t>Le mandat posthume</w:t>
            </w:r>
            <w:r>
              <w:rPr>
                <w:noProof/>
                <w:webHidden/>
              </w:rPr>
              <w:tab/>
            </w:r>
            <w:r>
              <w:rPr>
                <w:noProof/>
                <w:webHidden/>
              </w:rPr>
              <w:fldChar w:fldCharType="begin"/>
            </w:r>
            <w:r>
              <w:rPr>
                <w:noProof/>
                <w:webHidden/>
              </w:rPr>
              <w:instrText xml:space="preserve"> PAGEREF _Toc234734957 \h </w:instrText>
            </w:r>
            <w:r>
              <w:rPr>
                <w:noProof/>
                <w:webHidden/>
              </w:rPr>
            </w:r>
            <w:r>
              <w:rPr>
                <w:noProof/>
                <w:webHidden/>
              </w:rPr>
              <w:fldChar w:fldCharType="separate"/>
            </w:r>
            <w:r>
              <w:rPr>
                <w:noProof/>
                <w:webHidden/>
              </w:rPr>
              <w:t>26</w:t>
            </w:r>
            <w:r>
              <w:rPr>
                <w:noProof/>
                <w:webHidden/>
              </w:rPr>
              <w:fldChar w:fldCharType="end"/>
            </w:r>
          </w:hyperlink>
        </w:p>
        <w:p w14:paraId="24C0D4AB" w14:textId="0F1B6D19" w:rsidR="005A14F1" w:rsidRDefault="005A14F1">
          <w:r>
            <w:rPr>
              <w:b/>
              <w:bCs/>
            </w:rPr>
            <w:fldChar w:fldCharType="end"/>
          </w:r>
        </w:p>
      </w:sdtContent>
    </w:sdt>
    <w:p w14:paraId="57D0939A" w14:textId="77777777" w:rsidR="005A14F1" w:rsidRPr="005A14F1" w:rsidRDefault="005A14F1" w:rsidP="005A14F1">
      <w:pPr>
        <w:pStyle w:val="CGPC-elearning"/>
      </w:pPr>
    </w:p>
    <w:p w14:paraId="502BAF76" w14:textId="77777777" w:rsidR="00F13D6B" w:rsidRDefault="00F13D6B" w:rsidP="00F13D6B">
      <w:pPr>
        <w:pStyle w:val="CGPC-elearning"/>
      </w:pPr>
    </w:p>
    <w:p w14:paraId="42C90B16" w14:textId="35BB2EF3" w:rsidR="00F13D6B" w:rsidRDefault="00F13D6B">
      <w:pPr>
        <w:rPr>
          <w:rFonts w:cs="Open Sans"/>
          <w:bCs/>
          <w:kern w:val="2"/>
          <w:szCs w:val="32"/>
          <w14:ligatures w14:val="standardContextual"/>
        </w:rPr>
      </w:pPr>
      <w:r>
        <w:br w:type="page"/>
      </w:r>
    </w:p>
    <w:p w14:paraId="6904DF97" w14:textId="3FB5BA0F" w:rsidR="00F13D6B" w:rsidRPr="00F13D6B" w:rsidRDefault="00562856" w:rsidP="00F13D6B">
      <w:pPr>
        <w:pStyle w:val="CGPC-elearning"/>
      </w:pPr>
      <w:r>
        <w:rPr>
          <w:noProof/>
        </w:rPr>
        <w:lastRenderedPageBreak/>
        <mc:AlternateContent>
          <mc:Choice Requires="wps">
            <w:drawing>
              <wp:anchor distT="0" distB="0" distL="114300" distR="114300" simplePos="0" relativeHeight="251655680" behindDoc="1" locked="0" layoutInCell="1" allowOverlap="1" wp14:anchorId="747A7136" wp14:editId="26B7B57B">
                <wp:simplePos x="0" y="0"/>
                <wp:positionH relativeFrom="column">
                  <wp:posOffset>-914400</wp:posOffset>
                </wp:positionH>
                <wp:positionV relativeFrom="paragraph">
                  <wp:posOffset>-1551393</wp:posOffset>
                </wp:positionV>
                <wp:extent cx="10074166" cy="8560676"/>
                <wp:effectExtent l="0" t="0" r="22860" b="12065"/>
                <wp:wrapNone/>
                <wp:docPr id="194563892" name="Rectangle 5"/>
                <wp:cNvGraphicFramePr/>
                <a:graphic xmlns:a="http://schemas.openxmlformats.org/drawingml/2006/main">
                  <a:graphicData uri="http://schemas.microsoft.com/office/word/2010/wordprocessingShape">
                    <wps:wsp>
                      <wps:cNvSpPr/>
                      <wps:spPr>
                        <a:xfrm>
                          <a:off x="0" y="0"/>
                          <a:ext cx="10074166" cy="8560676"/>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9C9A6" id="Rectangle 5" o:spid="_x0000_s1026" style="position:absolute;margin-left:-1in;margin-top:-122.15pt;width:793.25pt;height:674.0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" fillcolor="#215e99 [2431]" strokecolor="#030e13 [484]" strokeweight="1pt"/>
            </w:pict>
          </mc:Fallback>
        </mc:AlternateContent>
      </w:r>
    </w:p>
    <w:p w14:paraId="0133C631" w14:textId="4F9688A9" w:rsidR="00BA15E8" w:rsidRPr="00770BF8" w:rsidRDefault="00BA15E8" w:rsidP="00BA15E8">
      <w:r w:rsidRPr="00770BF8">
        <w:t> </w:t>
      </w:r>
    </w:p>
    <w:p w14:paraId="02A2C266" w14:textId="329901F0" w:rsidR="000B2E79" w:rsidRDefault="000B2E79" w:rsidP="00F13D6B"/>
    <w:p w14:paraId="170DF62F" w14:textId="77777777" w:rsidR="000B2E79" w:rsidRDefault="000B2E79" w:rsidP="00F13D6B"/>
    <w:p w14:paraId="537D6EBA" w14:textId="3C5B756D" w:rsidR="000B2E79" w:rsidRDefault="000B2E79" w:rsidP="00F13D6B"/>
    <w:p w14:paraId="41481BB3" w14:textId="77777777" w:rsidR="000B2E79" w:rsidRDefault="000B2E79" w:rsidP="00F13D6B"/>
    <w:p w14:paraId="3A470856" w14:textId="5456763B" w:rsidR="00F13D6B" w:rsidRPr="00F13D6B" w:rsidRDefault="00BA15E8" w:rsidP="00562856">
      <w:pPr>
        <w:pStyle w:val="Titre1"/>
      </w:pPr>
      <w:bookmarkStart w:id="0" w:name="_Toc234734938"/>
      <w:r w:rsidRPr="00F13D6B">
        <w:t>Les raisons d’anticiper la vulnérabilité</w:t>
      </w:r>
      <w:bookmarkEnd w:id="0"/>
    </w:p>
    <w:p w14:paraId="565FA26F" w14:textId="4EC2D0C6" w:rsidR="00F13D6B" w:rsidRDefault="00F13D6B" w:rsidP="00F13D6B">
      <w:pPr>
        <w:pStyle w:val="CGPC-elearning"/>
      </w:pPr>
      <w:r>
        <w:br w:type="page"/>
      </w:r>
    </w:p>
    <w:p w14:paraId="71D9E01B" w14:textId="77777777" w:rsidR="00BA15E8" w:rsidRPr="00770BF8" w:rsidRDefault="00BA15E8" w:rsidP="00BA15E8">
      <w:r w:rsidRPr="00770BF8">
        <w:lastRenderedPageBreak/>
        <w:t>Les raisons d’anticiper la vulnérabilité sont multiples. La principale consiste à </w:t>
      </w:r>
      <w:r w:rsidRPr="00770BF8">
        <w:rPr>
          <w:b/>
          <w:bCs/>
        </w:rPr>
        <w:t>pouvoir choisir le protecteur</w:t>
      </w:r>
      <w:r w:rsidRPr="00770BF8">
        <w:t> qui sera en charge des intérêts de la personne protégée. Les critères seront généralement la confiance placée en la personne choisie, son intégrité, sa compétence, sa disponibilité, sa proximité, etc.</w:t>
      </w:r>
    </w:p>
    <w:p w14:paraId="4E7756F5" w14:textId="77777777" w:rsidR="00BA15E8" w:rsidRPr="00770BF8" w:rsidRDefault="00BA15E8" w:rsidP="00BA15E8">
      <w:r w:rsidRPr="00770BF8">
        <w:t>Ce choix pourra aussi, peut-être, </w:t>
      </w:r>
      <w:r w:rsidRPr="00770BF8">
        <w:rPr>
          <w:b/>
          <w:bCs/>
        </w:rPr>
        <w:t>éviter des litiges</w:t>
      </w:r>
      <w:r w:rsidRPr="00770BF8">
        <w:t> si l’entourage est enclin à respecter la volonté exprimée. Il pourra alors être conseillé d’en informer l’entourage (par exemple les autres enfants) afin que la décision soit la mieux acceptée possible.</w:t>
      </w:r>
    </w:p>
    <w:p w14:paraId="534FC540" w14:textId="77777777" w:rsidR="00BA15E8" w:rsidRPr="00770BF8" w:rsidRDefault="00BA15E8" w:rsidP="00BA15E8">
      <w:r w:rsidRPr="00770BF8">
        <w:t>D’une manière générale, le choix du protecteur permettra à celui qui l’aura fait de conserver un certain </w:t>
      </w:r>
      <w:r w:rsidRPr="00770BF8">
        <w:rPr>
          <w:b/>
          <w:bCs/>
        </w:rPr>
        <w:t>contrôle</w:t>
      </w:r>
      <w:r w:rsidRPr="00770BF8">
        <w:t> dans la manière dont son patrimoine et sa personne seront gérés lorsque ses facultés mentales seront altérées.</w:t>
      </w:r>
    </w:p>
    <w:p w14:paraId="364F16B2" w14:textId="77777777" w:rsidR="00BA15E8" w:rsidRPr="00770BF8" w:rsidRDefault="00BA15E8" w:rsidP="00BA15E8">
      <w:r w:rsidRPr="00770BF8">
        <w:t>Les autres raisons varient en fonction du </w:t>
      </w:r>
      <w:r w:rsidRPr="00770BF8">
        <w:rPr>
          <w:b/>
          <w:bCs/>
        </w:rPr>
        <w:t>contexte</w:t>
      </w:r>
      <w:r w:rsidRPr="00770BF8">
        <w:t>. L’anticipation de la vulnérabilité peut avoir pour objet la continuation d’une entreprise familiale, ou la prise en charge d’un enfant handicapé, ou encore le sort d’un immobilier de placement. Il se peut également que le majeur craignant d’être mis sous protection veuille absolument écarter telle et telle personne de la gestion de ses intérêts.</w:t>
      </w:r>
    </w:p>
    <w:p w14:paraId="13267A77" w14:textId="08430E5D" w:rsidR="00BA15E8" w:rsidRPr="00770BF8" w:rsidRDefault="00BA15E8" w:rsidP="00BA15E8"/>
    <w:p w14:paraId="4634EBDD" w14:textId="39AFB435" w:rsidR="00BA15E8" w:rsidRPr="00770BF8" w:rsidRDefault="005A14F1" w:rsidP="00BA15E8">
      <w:r>
        <w:rPr>
          <w:noProof/>
        </w:rPr>
        <w:lastRenderedPageBreak/>
        <mc:AlternateContent>
          <mc:Choice Requires="wps">
            <w:drawing>
              <wp:anchor distT="0" distB="0" distL="114300" distR="114300" simplePos="0" relativeHeight="251657728" behindDoc="1" locked="0" layoutInCell="1" allowOverlap="1" wp14:anchorId="321058DF" wp14:editId="6154A8CC">
                <wp:simplePos x="0" y="0"/>
                <wp:positionH relativeFrom="column">
                  <wp:posOffset>-1008993</wp:posOffset>
                </wp:positionH>
                <wp:positionV relativeFrom="paragraph">
                  <wp:posOffset>-1819407</wp:posOffset>
                </wp:positionV>
                <wp:extent cx="10074166" cy="8828689"/>
                <wp:effectExtent l="0" t="0" r="22860" b="10795"/>
                <wp:wrapNone/>
                <wp:docPr id="1689190016" name="Rectangle 5"/>
                <wp:cNvGraphicFramePr/>
                <a:graphic xmlns:a="http://schemas.openxmlformats.org/drawingml/2006/main">
                  <a:graphicData uri="http://schemas.microsoft.com/office/word/2010/wordprocessingShape">
                    <wps:wsp>
                      <wps:cNvSpPr/>
                      <wps:spPr>
                        <a:xfrm>
                          <a:off x="0" y="0"/>
                          <a:ext cx="10074166" cy="8828689"/>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7F5000" id="Rectangle 5" o:spid="_x0000_s1026" style="position:absolute;margin-left:-79.45pt;margin-top:-143.25pt;width:793.25pt;height:695.15pt;z-index:-25165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" fillcolor="#215e99 [2431]" strokecolor="#030e13 [484]" strokeweight="1pt"/>
            </w:pict>
          </mc:Fallback>
        </mc:AlternateContent>
      </w:r>
      <w:r w:rsidR="00BA15E8" w:rsidRPr="00770BF8">
        <w:t> </w:t>
      </w:r>
    </w:p>
    <w:p w14:paraId="7D532FA4" w14:textId="77777777" w:rsidR="005A14F1" w:rsidRDefault="005A14F1" w:rsidP="005A14F1"/>
    <w:p w14:paraId="6EA2E16F" w14:textId="77777777" w:rsidR="005A14F1" w:rsidRDefault="005A14F1" w:rsidP="005A14F1"/>
    <w:p w14:paraId="57CE1157" w14:textId="77777777" w:rsidR="005A14F1" w:rsidRDefault="005A14F1" w:rsidP="005A14F1"/>
    <w:p w14:paraId="10361891" w14:textId="77777777" w:rsidR="005A14F1" w:rsidRDefault="005A14F1" w:rsidP="005A14F1"/>
    <w:p w14:paraId="774965CF" w14:textId="177C2221" w:rsidR="005A14F1" w:rsidRPr="005A14F1" w:rsidRDefault="00BA15E8" w:rsidP="005A14F1">
      <w:pPr>
        <w:pStyle w:val="Titre1"/>
      </w:pPr>
      <w:bookmarkStart w:id="1" w:name="_Toc234734939"/>
      <w:r w:rsidRPr="005A14F1">
        <w:t>Le mandat de protection future</w:t>
      </w:r>
      <w:bookmarkEnd w:id="1"/>
    </w:p>
    <w:p w14:paraId="7F94A361" w14:textId="77777777" w:rsidR="005A14F1" w:rsidRDefault="005A14F1" w:rsidP="005A14F1">
      <w:pPr>
        <w:pStyle w:val="CGPC-elearning"/>
      </w:pPr>
      <w:r>
        <w:br w:type="page"/>
      </w:r>
    </w:p>
    <w:p w14:paraId="3285A7B8" w14:textId="06AED9D0" w:rsidR="00BA15E8" w:rsidRPr="005A14F1" w:rsidRDefault="00BA15E8" w:rsidP="005A14F1">
      <w:pPr>
        <w:rPr>
          <w:b/>
          <w:bCs/>
        </w:rPr>
      </w:pPr>
      <w:r w:rsidRPr="00770BF8">
        <w:lastRenderedPageBreak/>
        <w:t>Le mandat de protection future est l’outil d’anticipation par excellence. Il a été intégré dans notre droit positif par une loi du 5 mars 2007 et est entré en vigueur le 1</w:t>
      </w:r>
      <w:r w:rsidRPr="005A14F1">
        <w:rPr>
          <w:vertAlign w:val="superscript"/>
        </w:rPr>
        <w:t>er</w:t>
      </w:r>
      <w:r w:rsidRPr="00770BF8">
        <w:t> janvier 2009. Il répondait à une forte demande de la pratique, en particulier du notariat, qui observait que le mandat de protection future fonctionnait avec succès dans divers pays, notamment au Canada.</w:t>
      </w:r>
    </w:p>
    <w:p w14:paraId="4C8016B5" w14:textId="77777777" w:rsidR="00BA15E8" w:rsidRPr="00770BF8" w:rsidRDefault="00BA15E8" w:rsidP="00BA15E8">
      <w:r w:rsidRPr="00770BF8">
        <w:t>Pour éviter une mesure de protection judiciaire (prononcée par le juge des tutelles), toute personne pourvue de discernement a la possibilité de rédiger un </w:t>
      </w:r>
      <w:r w:rsidRPr="00770BF8">
        <w:rPr>
          <w:b/>
          <w:bCs/>
        </w:rPr>
        <w:t>mandat de protection future</w:t>
      </w:r>
      <w:r w:rsidRPr="00770BF8">
        <w:t> (MPF) dont la mise en œuvre interviendra en cas d'altération de ses facultés mentales. Par exemple, une personne dont la maladie d'Alzheimer a été diagnostiquée pourra rédiger un « MPF » avant que sa pathologie n'altère ses facultés mentales.</w:t>
      </w:r>
    </w:p>
    <w:p w14:paraId="68F407ED" w14:textId="77777777" w:rsidR="00BA15E8" w:rsidRPr="00770BF8" w:rsidRDefault="00BA15E8" w:rsidP="00BA15E8">
      <w:r w:rsidRPr="00770BF8">
        <w:t> </w:t>
      </w:r>
    </w:p>
    <w:p w14:paraId="74E0F7B2" w14:textId="7BF42A2C" w:rsidR="00BA15E8" w:rsidRPr="005A14F1" w:rsidRDefault="00BA15E8" w:rsidP="00930666">
      <w:pPr>
        <w:pStyle w:val="Titre2"/>
      </w:pPr>
      <w:bookmarkStart w:id="2" w:name="_Toc234734940"/>
      <w:r w:rsidRPr="005A14F1">
        <w:t>L'objet du mandat</w:t>
      </w:r>
      <w:bookmarkEnd w:id="2"/>
    </w:p>
    <w:p w14:paraId="758B5761" w14:textId="77777777" w:rsidR="00BA15E8" w:rsidRPr="00770BF8" w:rsidRDefault="00BA15E8" w:rsidP="00BA15E8">
      <w:r w:rsidRPr="00770BF8">
        <w:t> </w:t>
      </w:r>
    </w:p>
    <w:p w14:paraId="7DA41DD8" w14:textId="77777777" w:rsidR="00BA15E8" w:rsidRPr="00770BF8" w:rsidRDefault="00BA15E8" w:rsidP="00BA15E8">
      <w:r w:rsidRPr="00770BF8">
        <w:lastRenderedPageBreak/>
        <w:t>• </w:t>
      </w:r>
      <w:r w:rsidRPr="00770BF8">
        <w:rPr>
          <w:b/>
          <w:bCs/>
        </w:rPr>
        <w:t>MPF pour soi-même</w:t>
      </w:r>
      <w:r w:rsidRPr="00770BF8">
        <w:t> </w:t>
      </w:r>
      <w:r w:rsidRPr="00770BF8">
        <w:softHyphen/>
        <w:t>: Le mandat de protection future permet à une personne, le mandant, de désigner par avance une ou plusieurs autres personnes, dites mandataires, afin d'assurer sa protection si survient une altération des facultés mentales constatée par un médecin choisi (v. </w:t>
      </w:r>
      <w:r w:rsidRPr="00770BF8">
        <w:rPr>
          <w:i/>
          <w:iCs/>
        </w:rPr>
        <w:t>infra</w:t>
      </w:r>
      <w:r w:rsidRPr="00770BF8">
        <w:t>).</w:t>
      </w:r>
    </w:p>
    <w:p w14:paraId="1C19E02E" w14:textId="77777777" w:rsidR="00BA15E8" w:rsidRPr="00770BF8" w:rsidRDefault="00BA15E8" w:rsidP="00BA15E8">
      <w:r w:rsidRPr="00770BF8">
        <w:t>Il peut porter aussi bien sur la protection des biens que sur la personne du mandant.</w:t>
      </w:r>
    </w:p>
    <w:p w14:paraId="27BA102A" w14:textId="77777777" w:rsidR="00BA15E8" w:rsidRPr="00770BF8" w:rsidRDefault="00BA15E8" w:rsidP="00BA15E8">
      <w:r w:rsidRPr="00770BF8">
        <w:t xml:space="preserve">Le </w:t>
      </w:r>
      <w:proofErr w:type="spellStart"/>
      <w:r w:rsidRPr="00770BF8">
        <w:t>curatélaire</w:t>
      </w:r>
      <w:proofErr w:type="spellEnd"/>
      <w:r w:rsidRPr="00770BF8">
        <w:t>, assisté de son curateur, peut recourir à ce mandat.</w:t>
      </w:r>
    </w:p>
    <w:p w14:paraId="280AF1BA" w14:textId="77777777" w:rsidR="00BA15E8" w:rsidRPr="00770BF8" w:rsidRDefault="00BA15E8" w:rsidP="00BA15E8">
      <w:r w:rsidRPr="00770BF8">
        <w:t> </w:t>
      </w:r>
    </w:p>
    <w:p w14:paraId="46E83793" w14:textId="77777777" w:rsidR="00BA15E8" w:rsidRPr="00770BF8" w:rsidRDefault="00BA15E8" w:rsidP="002B3914">
      <w:pPr>
        <w:numPr>
          <w:ilvl w:val="0"/>
          <w:numId w:val="7"/>
        </w:numPr>
      </w:pPr>
      <w:r w:rsidRPr="00770BF8">
        <w:rPr>
          <w:b/>
          <w:bCs/>
        </w:rPr>
        <w:t>MPF pour autrui :</w:t>
      </w:r>
      <w:r w:rsidRPr="00770BF8">
        <w:rPr>
          <w:b/>
          <w:bCs/>
        </w:rPr>
        <w:softHyphen/>
      </w:r>
      <w:r w:rsidRPr="00770BF8">
        <w:t> Le mandat de protection future peut être aussi </w:t>
      </w:r>
      <w:r w:rsidRPr="00770BF8">
        <w:rPr>
          <w:b/>
          <w:bCs/>
        </w:rPr>
        <w:t>rédigé par des parents en faveur de leur enfant mineur ou handicapé</w:t>
      </w:r>
      <w:r w:rsidRPr="00770BF8">
        <w:t> (mineur ou majeur).</w:t>
      </w:r>
    </w:p>
    <w:p w14:paraId="55A8D56C" w14:textId="77777777" w:rsidR="00BA15E8" w:rsidRPr="00770BF8" w:rsidRDefault="00BA15E8" w:rsidP="00BA15E8">
      <w:r w:rsidRPr="00770BF8">
        <w:t>Ils chargent alors un tiers d'assurer sa protection dans l'hypothèse où ils ne pourront plus prendre soin de lui (décès ou mise sous protection). Ce mandat doit obligatoirement être établi par un </w:t>
      </w:r>
      <w:r w:rsidRPr="00770BF8">
        <w:rPr>
          <w:b/>
          <w:bCs/>
        </w:rPr>
        <w:t>notaire</w:t>
      </w:r>
      <w:r w:rsidRPr="00770BF8">
        <w:t>.</w:t>
      </w:r>
    </w:p>
    <w:p w14:paraId="491073F7" w14:textId="77777777" w:rsidR="00BA15E8" w:rsidRPr="00770BF8" w:rsidRDefault="00BA15E8" w:rsidP="002B3914">
      <w:pPr>
        <w:numPr>
          <w:ilvl w:val="0"/>
          <w:numId w:val="8"/>
        </w:numPr>
      </w:pPr>
      <w:r w:rsidRPr="00770BF8">
        <w:t>Le ou les</w:t>
      </w:r>
      <w:r w:rsidRPr="00770BF8">
        <w:rPr>
          <w:b/>
          <w:bCs/>
        </w:rPr>
        <w:t> mandataire(s)</w:t>
      </w:r>
      <w:r w:rsidRPr="00770BF8">
        <w:t> peuvent être :</w:t>
      </w:r>
    </w:p>
    <w:p w14:paraId="173D9B82" w14:textId="77777777" w:rsidR="00BA15E8" w:rsidRPr="00770BF8" w:rsidRDefault="00BA15E8" w:rsidP="002B3914">
      <w:pPr>
        <w:numPr>
          <w:ilvl w:val="0"/>
          <w:numId w:val="8"/>
        </w:numPr>
      </w:pPr>
      <w:r w:rsidRPr="00770BF8">
        <w:rPr>
          <w:b/>
          <w:bCs/>
        </w:rPr>
        <w:t>toute personne physique</w:t>
      </w:r>
      <w:r w:rsidRPr="00770BF8">
        <w:t>, à l'exception du rédacteur de l'acte, du médecin ou du pharmacien du mandant, des auxiliaires médicaux, sauf si ce sont des membres de la famille ;</w:t>
      </w:r>
    </w:p>
    <w:p w14:paraId="3183765C" w14:textId="77777777" w:rsidR="00BA15E8" w:rsidRPr="00770BF8" w:rsidRDefault="00BA15E8" w:rsidP="002B3914">
      <w:pPr>
        <w:numPr>
          <w:ilvl w:val="0"/>
          <w:numId w:val="8"/>
        </w:numPr>
      </w:pPr>
      <w:r w:rsidRPr="00770BF8">
        <w:rPr>
          <w:b/>
          <w:bCs/>
        </w:rPr>
        <w:lastRenderedPageBreak/>
        <w:t>tout mandataire judiciaire à la protection des majeurs</w:t>
      </w:r>
      <w:r w:rsidRPr="00770BF8">
        <w:t>, qui peut être une personne morale.</w:t>
      </w:r>
    </w:p>
    <w:p w14:paraId="1B6080BD" w14:textId="77777777" w:rsidR="00BA15E8" w:rsidRPr="00770BF8" w:rsidRDefault="00BA15E8" w:rsidP="00BA15E8">
      <w:r w:rsidRPr="00770BF8">
        <w:t>Le ou les mandataires doivent accepter le mandat personnellement.</w:t>
      </w:r>
    </w:p>
    <w:p w14:paraId="603799EA" w14:textId="77777777" w:rsidR="00BA15E8" w:rsidRPr="00770BF8" w:rsidRDefault="00BA15E8" w:rsidP="00BA15E8">
      <w:r w:rsidRPr="00770BF8">
        <w:t>Ils ne peuvent être mineurs ni placés sous une mesure de protection.</w:t>
      </w:r>
    </w:p>
    <w:p w14:paraId="50189C3E" w14:textId="77777777" w:rsidR="00BA15E8" w:rsidRPr="00770BF8" w:rsidRDefault="00BA15E8" w:rsidP="00BA15E8">
      <w:r w:rsidRPr="00770BF8">
        <w:t> </w:t>
      </w:r>
    </w:p>
    <w:p w14:paraId="5B2EE87D" w14:textId="517D2275" w:rsidR="00BA15E8" w:rsidRPr="005A14F1" w:rsidRDefault="00BA15E8" w:rsidP="00930666">
      <w:pPr>
        <w:pStyle w:val="Titre2"/>
      </w:pPr>
      <w:bookmarkStart w:id="3" w:name="_Toc234734941"/>
      <w:r w:rsidRPr="005A14F1">
        <w:t>La forme du mandat</w:t>
      </w:r>
      <w:bookmarkEnd w:id="3"/>
    </w:p>
    <w:p w14:paraId="3199E7D1" w14:textId="77777777" w:rsidR="00BA15E8" w:rsidRPr="00770BF8" w:rsidRDefault="00BA15E8" w:rsidP="00BA15E8">
      <w:r w:rsidRPr="00770BF8">
        <w:t>Le mandat de protection future peut être établi par un notaire ; on parle alors de </w:t>
      </w:r>
      <w:r w:rsidRPr="00770BF8">
        <w:rPr>
          <w:b/>
          <w:bCs/>
        </w:rPr>
        <w:t>mandat authentique</w:t>
      </w:r>
      <w:r w:rsidRPr="00770BF8">
        <w:t>. Il peut également être établi entre les parties, au besoin avec l'aide d'un avocat ; on parle alors de </w:t>
      </w:r>
      <w:r w:rsidRPr="00770BF8">
        <w:rPr>
          <w:b/>
          <w:bCs/>
        </w:rPr>
        <w:t>mandat sous seing privé</w:t>
      </w:r>
      <w:r w:rsidRPr="00770BF8">
        <w:t>.</w:t>
      </w:r>
    </w:p>
    <w:p w14:paraId="785EFFAF" w14:textId="77777777" w:rsidR="00BA15E8" w:rsidRPr="00770BF8" w:rsidRDefault="00BA15E8" w:rsidP="002B3914">
      <w:pPr>
        <w:numPr>
          <w:ilvl w:val="0"/>
          <w:numId w:val="9"/>
        </w:numPr>
      </w:pPr>
      <w:r w:rsidRPr="00770BF8">
        <w:rPr>
          <w:b/>
          <w:bCs/>
        </w:rPr>
        <w:t>Mandat authentique</w:t>
      </w:r>
      <w:r w:rsidRPr="00770BF8">
        <w:t> – Le mandat authentique permet au(x) mandataire(s) d'accomplir des </w:t>
      </w:r>
      <w:r w:rsidRPr="00770BF8">
        <w:rPr>
          <w:b/>
          <w:bCs/>
        </w:rPr>
        <w:t>actes de disposition</w:t>
      </w:r>
      <w:r w:rsidRPr="00770BF8">
        <w:t>, comme la vente d'une maison, à l'exception toutefois des donations.</w:t>
      </w:r>
    </w:p>
    <w:p w14:paraId="6F83D6B4" w14:textId="77777777" w:rsidR="00BA15E8" w:rsidRPr="00770BF8" w:rsidRDefault="00BA15E8" w:rsidP="00BA15E8">
      <w:r w:rsidRPr="00770BF8">
        <w:t>Lors de l'ouverture de la mesure (c'est-à-dire lorsque l'altération des facultés mentales est établie), le mandataire dresse un </w:t>
      </w:r>
      <w:r w:rsidRPr="00770BF8">
        <w:rPr>
          <w:b/>
          <w:bCs/>
        </w:rPr>
        <w:t>inventaire</w:t>
      </w:r>
      <w:r w:rsidRPr="00770BF8">
        <w:t xml:space="preserve"> qu'il doit ensuite actualiser tous les </w:t>
      </w:r>
      <w:r w:rsidRPr="00770BF8">
        <w:lastRenderedPageBreak/>
        <w:t>ans. Il doit envoyer ces documents au notaire qui en assure la conservation. Il lui transmet également les </w:t>
      </w:r>
      <w:r w:rsidRPr="00770BF8">
        <w:rPr>
          <w:b/>
          <w:bCs/>
        </w:rPr>
        <w:t>comptes annuels</w:t>
      </w:r>
      <w:r w:rsidRPr="00770BF8">
        <w:t>.</w:t>
      </w:r>
    </w:p>
    <w:p w14:paraId="2FD0BA97" w14:textId="77777777" w:rsidR="00BA15E8" w:rsidRPr="00770BF8" w:rsidRDefault="00BA15E8" w:rsidP="00BA15E8">
      <w:r w:rsidRPr="00770BF8">
        <w:t>Le notaire a un </w:t>
      </w:r>
      <w:r w:rsidRPr="00770BF8">
        <w:rPr>
          <w:b/>
          <w:bCs/>
        </w:rPr>
        <w:t>devoir d'alerte</w:t>
      </w:r>
      <w:r w:rsidRPr="00770BF8">
        <w:t>. S'il estime que des mouvements de fonds ou des actes ne sont pas conformes à l'intérêt du mandant, il devra saisir le juge des tutelles. Il a l'obligation de conserver les pièces en question.</w:t>
      </w:r>
    </w:p>
    <w:p w14:paraId="75930ECA" w14:textId="77777777" w:rsidR="00BA15E8" w:rsidRPr="00770BF8" w:rsidRDefault="00BA15E8" w:rsidP="00BA15E8">
      <w:r w:rsidRPr="00770BF8">
        <w:t>La </w:t>
      </w:r>
      <w:r w:rsidRPr="00770BF8">
        <w:rPr>
          <w:b/>
          <w:bCs/>
        </w:rPr>
        <w:t>rémunération du notaire</w:t>
      </w:r>
      <w:r w:rsidRPr="00770BF8">
        <w:t> est de 138,47 euros (en 2018) pour la rédaction du mandat. L'acceptation par le mandataire par acte séparé coûte 69,23 euros (en 2018). Les frais du contrôle par le notaire de l'exécution du mandat se situent entre 138,47 et 412,39 euros (en 2018), selon l'importance du patrimoine.</w:t>
      </w:r>
    </w:p>
    <w:p w14:paraId="25AB56B7" w14:textId="77777777" w:rsidR="00BA15E8" w:rsidRPr="00770BF8" w:rsidRDefault="00BA15E8" w:rsidP="002B3914">
      <w:pPr>
        <w:numPr>
          <w:ilvl w:val="0"/>
          <w:numId w:val="10"/>
        </w:numPr>
      </w:pPr>
      <w:r w:rsidRPr="00770BF8">
        <w:t>Mandat sous seing privé – Pour signer un mandat sous seing privé, il existe deux possibilités :</w:t>
      </w:r>
    </w:p>
    <w:p w14:paraId="392A83B9" w14:textId="77777777" w:rsidR="00BA15E8" w:rsidRPr="00770BF8" w:rsidRDefault="00BA15E8" w:rsidP="002B3914">
      <w:pPr>
        <w:numPr>
          <w:ilvl w:val="0"/>
          <w:numId w:val="10"/>
        </w:numPr>
      </w:pPr>
      <w:r w:rsidRPr="00770BF8">
        <w:t>utiliser un </w:t>
      </w:r>
      <w:r w:rsidRPr="00770BF8">
        <w:rPr>
          <w:b/>
          <w:bCs/>
        </w:rPr>
        <w:t>modèle</w:t>
      </w:r>
      <w:r w:rsidRPr="00770BF8">
        <w:t> établi par le ministère de la Justice avec une note explicative (il s'agit du modèle Cerfa 13592-02, accessible sur le site www.tutelles.justice.gouv.fr) ;</w:t>
      </w:r>
    </w:p>
    <w:p w14:paraId="2F0C107F" w14:textId="77777777" w:rsidR="00BA15E8" w:rsidRPr="00770BF8" w:rsidRDefault="00BA15E8" w:rsidP="002B3914">
      <w:pPr>
        <w:numPr>
          <w:ilvl w:val="0"/>
          <w:numId w:val="10"/>
        </w:numPr>
      </w:pPr>
      <w:r w:rsidRPr="00770BF8">
        <w:t>en confier la rédaction à un</w:t>
      </w:r>
      <w:r w:rsidRPr="00770BF8">
        <w:rPr>
          <w:b/>
          <w:bCs/>
        </w:rPr>
        <w:t> avocat</w:t>
      </w:r>
      <w:r w:rsidRPr="00770BF8">
        <w:t> qui le contresignera et dont les honoraires sont libres.</w:t>
      </w:r>
    </w:p>
    <w:p w14:paraId="7CE1AC21" w14:textId="77777777" w:rsidR="00BA15E8" w:rsidRPr="00770BF8" w:rsidRDefault="00BA15E8" w:rsidP="00BA15E8">
      <w:r w:rsidRPr="00770BF8">
        <w:lastRenderedPageBreak/>
        <w:t>Dans ces deux hypothèses, </w:t>
      </w:r>
      <w:r w:rsidRPr="00770BF8">
        <w:rPr>
          <w:b/>
          <w:bCs/>
        </w:rPr>
        <w:t>le mandataire ne peut accomplir que des actes d'administration</w:t>
      </w:r>
      <w:r w:rsidRPr="00770BF8">
        <w:t>, c'est-à-dire de gestion exclusivement, et non pas des actes de disposition.</w:t>
      </w:r>
    </w:p>
    <w:p w14:paraId="78955F94" w14:textId="77777777" w:rsidR="00BA15E8" w:rsidRPr="00770BF8" w:rsidRDefault="00BA15E8" w:rsidP="00BA15E8">
      <w:r w:rsidRPr="00770BF8">
        <w:t>Le mandat de protection future sous seing privé doit être </w:t>
      </w:r>
      <w:r w:rsidRPr="00770BF8">
        <w:rPr>
          <w:b/>
          <w:bCs/>
        </w:rPr>
        <w:t>enregistré à la recette des impôts</w:t>
      </w:r>
      <w:r w:rsidRPr="00770BF8">
        <w:t> de la résidence du mandant. Le coût de cet enregistrement est de 125 euros (en 2018).</w:t>
      </w:r>
    </w:p>
    <w:p w14:paraId="158098B2" w14:textId="77777777" w:rsidR="00BA15E8" w:rsidRPr="00770BF8" w:rsidRDefault="00BA15E8" w:rsidP="00BA15E8">
      <w:r w:rsidRPr="00770BF8">
        <w:t> </w:t>
      </w:r>
    </w:p>
    <w:p w14:paraId="016E95BF" w14:textId="5CB41FB7" w:rsidR="00BA15E8" w:rsidRPr="00DC309F" w:rsidRDefault="00BA15E8" w:rsidP="00930666">
      <w:pPr>
        <w:pStyle w:val="Titre2"/>
        <w:rPr>
          <w:lang w:val="fr-FR"/>
        </w:rPr>
      </w:pPr>
      <w:bookmarkStart w:id="4" w:name="_Toc234734942"/>
      <w:r w:rsidRPr="00DC309F">
        <w:rPr>
          <w:lang w:val="fr-FR"/>
        </w:rPr>
        <w:t>Les règles communes aux différents mandats</w:t>
      </w:r>
      <w:bookmarkEnd w:id="4"/>
    </w:p>
    <w:p w14:paraId="0A7372E4" w14:textId="77777777" w:rsidR="00BA15E8" w:rsidRPr="00770BF8" w:rsidRDefault="00BA15E8" w:rsidP="00BA15E8">
      <w:r w:rsidRPr="00770BF8">
        <w:t>Tant qu'il ne reçoit pas exécution, le mandat de protection future peut être </w:t>
      </w:r>
      <w:r w:rsidRPr="00770BF8">
        <w:rPr>
          <w:b/>
          <w:bCs/>
        </w:rPr>
        <w:t>modifié</w:t>
      </w:r>
      <w:r w:rsidRPr="00770BF8">
        <w:t> ou </w:t>
      </w:r>
      <w:r w:rsidRPr="00770BF8">
        <w:rPr>
          <w:b/>
          <w:bCs/>
        </w:rPr>
        <w:t>révoqué</w:t>
      </w:r>
      <w:r w:rsidRPr="00770BF8">
        <w:t> par le mandant. De son côté, le mandataire peut y </w:t>
      </w:r>
      <w:r w:rsidRPr="00770BF8">
        <w:rPr>
          <w:b/>
          <w:bCs/>
        </w:rPr>
        <w:t>renoncer</w:t>
      </w:r>
      <w:r w:rsidRPr="00770BF8">
        <w:t>.</w:t>
      </w:r>
    </w:p>
    <w:p w14:paraId="0A0B58A5" w14:textId="77777777" w:rsidR="00BA15E8" w:rsidRPr="00770BF8" w:rsidRDefault="00BA15E8" w:rsidP="00BA15E8">
      <w:r w:rsidRPr="00770BF8">
        <w:t>Le mandat est en principe </w:t>
      </w:r>
      <w:r w:rsidRPr="00770BF8">
        <w:rPr>
          <w:b/>
          <w:bCs/>
        </w:rPr>
        <w:t>gratuit</w:t>
      </w:r>
      <w:r w:rsidRPr="00770BF8">
        <w:t>, sauf si des rémunérations y sont expressément prévues.</w:t>
      </w:r>
    </w:p>
    <w:p w14:paraId="70545950" w14:textId="77777777" w:rsidR="00BA15E8" w:rsidRPr="00770BF8" w:rsidRDefault="00BA15E8" w:rsidP="00BA15E8">
      <w:r w:rsidRPr="00770BF8">
        <w:t> </w:t>
      </w:r>
    </w:p>
    <w:p w14:paraId="6EF3506D" w14:textId="0A671BDE" w:rsidR="00BA15E8" w:rsidRPr="00DC309F" w:rsidRDefault="00BA15E8" w:rsidP="00930666">
      <w:pPr>
        <w:pStyle w:val="Titre2"/>
        <w:rPr>
          <w:lang w:val="fr-FR"/>
        </w:rPr>
      </w:pPr>
      <w:bookmarkStart w:id="5" w:name="_Toc234734943"/>
      <w:r w:rsidRPr="00DC309F">
        <w:rPr>
          <w:lang w:val="fr-FR"/>
        </w:rPr>
        <w:lastRenderedPageBreak/>
        <w:t>L'exécution du mandat : le contrôle du greffier du tribunal d'instance</w:t>
      </w:r>
      <w:bookmarkEnd w:id="5"/>
    </w:p>
    <w:p w14:paraId="07615FA9" w14:textId="77777777" w:rsidR="00BA15E8" w:rsidRPr="00770BF8" w:rsidRDefault="00BA15E8" w:rsidP="00BA15E8">
      <w:r w:rsidRPr="00770BF8">
        <w:t>La mise en œuvre d'un mandat de protection future est subordonnée à </w:t>
      </w:r>
      <w:r w:rsidRPr="00770BF8">
        <w:rPr>
          <w:b/>
          <w:bCs/>
        </w:rPr>
        <w:t>l'accomplissement de certaines formalités </w:t>
      </w:r>
      <w:r w:rsidRPr="00770BF8">
        <w:t>auprès du greffe du tribunal d'instance dans le ressort duquel réside le mandant. Ces formalités sont décrites en page XX.</w:t>
      </w:r>
    </w:p>
    <w:p w14:paraId="3D9F85D3" w14:textId="77777777" w:rsidR="00BA15E8" w:rsidRPr="00770BF8" w:rsidRDefault="00BA15E8" w:rsidP="00BA15E8">
      <w:r w:rsidRPr="00770BF8">
        <w:t> </w:t>
      </w:r>
    </w:p>
    <w:p w14:paraId="2BDDC8AB" w14:textId="29F190B2" w:rsidR="00BA15E8" w:rsidRPr="00DC309F" w:rsidRDefault="00BA15E8" w:rsidP="00930666">
      <w:pPr>
        <w:pStyle w:val="Titre2"/>
        <w:rPr>
          <w:lang w:val="fr-FR"/>
        </w:rPr>
      </w:pPr>
      <w:bookmarkStart w:id="6" w:name="_Toc234734944"/>
      <w:r w:rsidRPr="00DC309F">
        <w:rPr>
          <w:lang w:val="fr-FR"/>
        </w:rPr>
        <w:t>Les règles communes aux différents mandats</w:t>
      </w:r>
      <w:bookmarkEnd w:id="6"/>
    </w:p>
    <w:p w14:paraId="766819DD" w14:textId="77777777" w:rsidR="00BA15E8" w:rsidRPr="00770BF8" w:rsidRDefault="00BA15E8" w:rsidP="00BA15E8">
      <w:r w:rsidRPr="00770BF8">
        <w:t xml:space="preserve">Contrairement au </w:t>
      </w:r>
      <w:proofErr w:type="spellStart"/>
      <w:r w:rsidRPr="00770BF8">
        <w:t>curatélaire</w:t>
      </w:r>
      <w:proofErr w:type="spellEnd"/>
      <w:r w:rsidRPr="00770BF8">
        <w:t xml:space="preserve"> ou au tutélaire, le </w:t>
      </w:r>
      <w:r w:rsidRPr="00770BF8">
        <w:rPr>
          <w:b/>
          <w:bCs/>
        </w:rPr>
        <w:t>mandant reste capable d'accomplir tous les actes qu'il souhaite</w:t>
      </w:r>
      <w:r w:rsidRPr="00770BF8">
        <w:t>, et ce sans que son interlocuteur puisse connaître l'existence du ou des mandataires.</w:t>
      </w:r>
    </w:p>
    <w:p w14:paraId="12B53A02" w14:textId="77777777" w:rsidR="00BA15E8" w:rsidRPr="00770BF8" w:rsidRDefault="00BA15E8" w:rsidP="00BA15E8">
      <w:r w:rsidRPr="00770BF8">
        <w:t>Les personnes qui </w:t>
      </w:r>
      <w:r w:rsidRPr="00770BF8">
        <w:rPr>
          <w:b/>
          <w:bCs/>
        </w:rPr>
        <w:t>contestent l'exécution du mandat</w:t>
      </w:r>
      <w:r w:rsidRPr="00770BF8">
        <w:t xml:space="preserve"> (par exemple des membres de la famille qui ne sont pas nommés mandataires) peuvent saisir le juge des tutelles et </w:t>
      </w:r>
      <w:r w:rsidRPr="00770BF8">
        <w:lastRenderedPageBreak/>
        <w:t>demander que soit ordonnée, à sa place ou en complément, une mesure de protection. La présence d'un avocat n'est pas obligatoire.</w:t>
      </w:r>
    </w:p>
    <w:p w14:paraId="4D7F28FB" w14:textId="44A786D5" w:rsidR="00BA15E8" w:rsidRPr="00770BF8" w:rsidRDefault="00BA15E8" w:rsidP="005A14F1">
      <w:pPr>
        <w:ind w:left="720"/>
        <w:rPr>
          <w:b/>
          <w:bCs/>
        </w:rPr>
      </w:pPr>
    </w:p>
    <w:p w14:paraId="2253FF40" w14:textId="4AE7996F" w:rsidR="00BA15E8" w:rsidRPr="00DC309F" w:rsidRDefault="00BA15E8" w:rsidP="00930666">
      <w:pPr>
        <w:pStyle w:val="Titre2"/>
        <w:rPr>
          <w:lang w:val="fr-FR"/>
        </w:rPr>
      </w:pPr>
      <w:bookmarkStart w:id="7" w:name="_Toc234734945"/>
      <w:r w:rsidRPr="00DC309F">
        <w:rPr>
          <w:lang w:val="fr-FR"/>
        </w:rPr>
        <w:t>Le rôle spécifique du ou des mandataires</w:t>
      </w:r>
      <w:bookmarkEnd w:id="7"/>
    </w:p>
    <w:p w14:paraId="0B73FA78" w14:textId="77777777" w:rsidR="00BA15E8" w:rsidRPr="00770BF8" w:rsidRDefault="00BA15E8" w:rsidP="00BA15E8">
      <w:r w:rsidRPr="00770BF8">
        <w:t>Les mandataires exercent leurs droits tels qu'ils sont définis dans le mandat. Ils sont </w:t>
      </w:r>
      <w:r w:rsidRPr="00770BF8">
        <w:rPr>
          <w:b/>
          <w:bCs/>
        </w:rPr>
        <w:t>responsables de leurs actes</w:t>
      </w:r>
      <w:r w:rsidRPr="00770BF8">
        <w:t> et de ceux accomplis par les tiers qu'ils auront sollicités pour les aider (par exemple un expert-comptable pour établir des déclarations d'impôts, une agence immobilière à laquelle aura été donnée une procuration pour une vente d'immeuble, etc.). Les fautes commises sont appréciées différemment selon que leur mission est bénévole ou rémunérée.</w:t>
      </w:r>
    </w:p>
    <w:p w14:paraId="7B5C7441" w14:textId="77777777" w:rsidR="00BA15E8" w:rsidRPr="00770BF8" w:rsidRDefault="00BA15E8" w:rsidP="00BA15E8">
      <w:r w:rsidRPr="00770BF8">
        <w:t>Les mandataires ont trois mois à partir de la date donnée par le greffier pour dresser l'</w:t>
      </w:r>
      <w:r w:rsidRPr="00770BF8">
        <w:rPr>
          <w:b/>
          <w:bCs/>
        </w:rPr>
        <w:t>inventaire</w:t>
      </w:r>
      <w:r w:rsidRPr="00770BF8">
        <w:t> des biens du mandant ; ils doivent l'actualiser chaque année.</w:t>
      </w:r>
    </w:p>
    <w:p w14:paraId="24E4D754" w14:textId="77777777" w:rsidR="00BA15E8" w:rsidRPr="00770BF8" w:rsidRDefault="00BA15E8" w:rsidP="00BA15E8">
      <w:r w:rsidRPr="00770BF8">
        <w:t>Seuls les mandataires de l'acte notarié rendent des comptes annuels au notaire. Les autres ont l'</w:t>
      </w:r>
      <w:r w:rsidRPr="00770BF8">
        <w:rPr>
          <w:b/>
          <w:bCs/>
        </w:rPr>
        <w:t>obligation de conserver les comptes</w:t>
      </w:r>
      <w:r w:rsidRPr="00770BF8">
        <w:t> pendant cinq ans pour pouvoir les présenter :</w:t>
      </w:r>
    </w:p>
    <w:p w14:paraId="7A2572C6" w14:textId="77777777" w:rsidR="00BA15E8" w:rsidRPr="00770BF8" w:rsidRDefault="00BA15E8" w:rsidP="002B3914">
      <w:pPr>
        <w:numPr>
          <w:ilvl w:val="0"/>
          <w:numId w:val="11"/>
        </w:numPr>
      </w:pPr>
      <w:r w:rsidRPr="00770BF8">
        <w:lastRenderedPageBreak/>
        <w:t>au </w:t>
      </w:r>
      <w:r w:rsidRPr="00770BF8">
        <w:rPr>
          <w:b/>
          <w:bCs/>
        </w:rPr>
        <w:t>juge des tutelles</w:t>
      </w:r>
      <w:r w:rsidRPr="00770BF8">
        <w:t> ou au </w:t>
      </w:r>
      <w:r w:rsidRPr="00770BF8">
        <w:rPr>
          <w:b/>
          <w:bCs/>
        </w:rPr>
        <w:t>procureur de la République</w:t>
      </w:r>
      <w:r w:rsidRPr="00770BF8">
        <w:t> qui les leur demanderait ;</w:t>
      </w:r>
    </w:p>
    <w:p w14:paraId="09B11E27" w14:textId="77777777" w:rsidR="00BA15E8" w:rsidRPr="00770BF8" w:rsidRDefault="00BA15E8" w:rsidP="002B3914">
      <w:pPr>
        <w:numPr>
          <w:ilvl w:val="0"/>
          <w:numId w:val="11"/>
        </w:numPr>
      </w:pPr>
      <w:r w:rsidRPr="00770BF8">
        <w:t>aux </w:t>
      </w:r>
      <w:r w:rsidRPr="00770BF8">
        <w:rPr>
          <w:b/>
          <w:bCs/>
        </w:rPr>
        <w:t>héritiers</w:t>
      </w:r>
      <w:r w:rsidRPr="00770BF8">
        <w:t> quand ils seront déchargés de leur mission.</w:t>
      </w:r>
    </w:p>
    <w:p w14:paraId="6ADE7A55" w14:textId="77777777" w:rsidR="00BA15E8" w:rsidRPr="00770BF8" w:rsidRDefault="00BA15E8" w:rsidP="00BA15E8">
      <w:r w:rsidRPr="00770BF8">
        <w:t> </w:t>
      </w:r>
    </w:p>
    <w:p w14:paraId="7408099C" w14:textId="77777777" w:rsidR="00BA15E8" w:rsidRPr="00770BF8" w:rsidRDefault="00BA15E8" w:rsidP="00BA15E8">
      <w:r w:rsidRPr="00770BF8">
        <w:t>Les mandataires peuvent saisir le </w:t>
      </w:r>
      <w:r w:rsidRPr="00770BF8">
        <w:rPr>
          <w:b/>
          <w:bCs/>
        </w:rPr>
        <w:t>juge des tutelles</w:t>
      </w:r>
      <w:r w:rsidRPr="00770BF8">
        <w:t> s'ils souhaitent accomplir un acte non prévu dans le mandat, que celui-ci porte sur la personne du mandant (par exemple pour une autorisation chirurgicale) ou sur ses biens.</w:t>
      </w:r>
    </w:p>
    <w:p w14:paraId="736593E3" w14:textId="77777777" w:rsidR="00BA15E8" w:rsidRPr="00770BF8" w:rsidRDefault="00BA15E8" w:rsidP="00BA15E8">
      <w:r w:rsidRPr="00770BF8">
        <w:t> </w:t>
      </w:r>
    </w:p>
    <w:p w14:paraId="1AE7732A" w14:textId="4BF6881A" w:rsidR="00BA15E8" w:rsidRPr="00DC309F" w:rsidRDefault="00BA15E8" w:rsidP="00930666">
      <w:pPr>
        <w:pStyle w:val="Titre2"/>
        <w:rPr>
          <w:lang w:val="fr-FR"/>
        </w:rPr>
      </w:pPr>
      <w:bookmarkStart w:id="8" w:name="_Toc234734946"/>
      <w:r w:rsidRPr="00DC309F">
        <w:rPr>
          <w:lang w:val="fr-FR"/>
        </w:rPr>
        <w:t>La fin du mandat de protection future</w:t>
      </w:r>
      <w:bookmarkEnd w:id="8"/>
    </w:p>
    <w:p w14:paraId="3C39C3F0" w14:textId="77777777" w:rsidR="00BA15E8" w:rsidRPr="00770BF8" w:rsidRDefault="00BA15E8" w:rsidP="00BA15E8">
      <w:r w:rsidRPr="00770BF8">
        <w:t>Le mandat de protection future prend fin dans plusieurs hypothèses :</w:t>
      </w:r>
    </w:p>
    <w:p w14:paraId="0F1E9213" w14:textId="77777777" w:rsidR="00BA15E8" w:rsidRPr="00770BF8" w:rsidRDefault="00BA15E8" w:rsidP="002B3914">
      <w:pPr>
        <w:numPr>
          <w:ilvl w:val="0"/>
          <w:numId w:val="12"/>
        </w:numPr>
      </w:pPr>
      <w:r w:rsidRPr="00770BF8">
        <w:t>par décision du </w:t>
      </w:r>
      <w:r w:rsidRPr="00770BF8">
        <w:rPr>
          <w:b/>
          <w:bCs/>
        </w:rPr>
        <w:t>juge des tutelles</w:t>
      </w:r>
      <w:r w:rsidRPr="00770BF8">
        <w:t> saisi par toute personne y ayant un intérêt (on pense aux mêmes personnes que celles qui peuvent déposer une requête) ;</w:t>
      </w:r>
    </w:p>
    <w:p w14:paraId="22D6AC1C" w14:textId="77777777" w:rsidR="00BA15E8" w:rsidRPr="00770BF8" w:rsidRDefault="00BA15E8" w:rsidP="002B3914">
      <w:pPr>
        <w:numPr>
          <w:ilvl w:val="0"/>
          <w:numId w:val="12"/>
        </w:numPr>
      </w:pPr>
      <w:r w:rsidRPr="00770BF8">
        <w:lastRenderedPageBreak/>
        <w:t>par le </w:t>
      </w:r>
      <w:r w:rsidRPr="00770BF8">
        <w:rPr>
          <w:b/>
          <w:bCs/>
        </w:rPr>
        <w:t>recouvrement par la personne protégée de ses capacités mentales</w:t>
      </w:r>
      <w:r w:rsidRPr="00770BF8">
        <w:t>. Un certificat médical établi par le médecin choisi devra être présenté, avec le mandat, au greffier qui y apposera à nouveau son visa pour mettre fin à son exécution ;</w:t>
      </w:r>
    </w:p>
    <w:p w14:paraId="20957368" w14:textId="77777777" w:rsidR="00BA15E8" w:rsidRPr="00770BF8" w:rsidRDefault="00BA15E8" w:rsidP="002B3914">
      <w:pPr>
        <w:numPr>
          <w:ilvl w:val="0"/>
          <w:numId w:val="12"/>
        </w:numPr>
      </w:pPr>
      <w:r w:rsidRPr="00770BF8">
        <w:t>par le </w:t>
      </w:r>
      <w:r w:rsidRPr="00770BF8">
        <w:rPr>
          <w:b/>
          <w:bCs/>
        </w:rPr>
        <w:t xml:space="preserve">décès du </w:t>
      </w:r>
      <w:proofErr w:type="gramStart"/>
      <w:r w:rsidRPr="00770BF8">
        <w:rPr>
          <w:b/>
          <w:bCs/>
        </w:rPr>
        <w:t>mandant</w:t>
      </w:r>
      <w:r w:rsidRPr="00770BF8">
        <w:t>;</w:t>
      </w:r>
      <w:proofErr w:type="gramEnd"/>
    </w:p>
    <w:p w14:paraId="20793054" w14:textId="77777777" w:rsidR="00BA15E8" w:rsidRPr="00770BF8" w:rsidRDefault="00BA15E8" w:rsidP="002B3914">
      <w:pPr>
        <w:numPr>
          <w:ilvl w:val="0"/>
          <w:numId w:val="12"/>
        </w:numPr>
      </w:pPr>
      <w:r w:rsidRPr="00770BF8">
        <w:t>par le placement du mandant sous </w:t>
      </w:r>
      <w:r w:rsidRPr="00770BF8">
        <w:rPr>
          <w:b/>
          <w:bCs/>
        </w:rPr>
        <w:t>curatelle</w:t>
      </w:r>
      <w:r w:rsidRPr="00770BF8">
        <w:t> ou sous </w:t>
      </w:r>
      <w:proofErr w:type="gramStart"/>
      <w:r w:rsidRPr="00770BF8">
        <w:rPr>
          <w:b/>
          <w:bCs/>
        </w:rPr>
        <w:t>tutelle</w:t>
      </w:r>
      <w:r w:rsidRPr="00770BF8">
        <w:t>;</w:t>
      </w:r>
      <w:proofErr w:type="gramEnd"/>
    </w:p>
    <w:p w14:paraId="643FCE4C" w14:textId="77777777" w:rsidR="00BA15E8" w:rsidRPr="00770BF8" w:rsidRDefault="00BA15E8" w:rsidP="002B3914">
      <w:pPr>
        <w:numPr>
          <w:ilvl w:val="0"/>
          <w:numId w:val="12"/>
        </w:numPr>
      </w:pPr>
      <w:r w:rsidRPr="00770BF8">
        <w:t>par le </w:t>
      </w:r>
      <w:r w:rsidRPr="00770BF8">
        <w:rPr>
          <w:b/>
          <w:bCs/>
        </w:rPr>
        <w:t>décès du mandataire</w:t>
      </w:r>
      <w:r w:rsidRPr="00770BF8">
        <w:t>, son placement sous une </w:t>
      </w:r>
      <w:r w:rsidRPr="00770BF8">
        <w:rPr>
          <w:b/>
          <w:bCs/>
        </w:rPr>
        <w:t>mesure de protection</w:t>
      </w:r>
      <w:r w:rsidRPr="00770BF8">
        <w:t> quelle qu'elle soit ou son état de </w:t>
      </w:r>
      <w:r w:rsidRPr="00770BF8">
        <w:rPr>
          <w:b/>
          <w:bCs/>
        </w:rPr>
        <w:t>déconfiture</w:t>
      </w:r>
      <w:r w:rsidRPr="00770BF8">
        <w:t> (c'est-à-dire son insolvabilité) ;</w:t>
      </w:r>
    </w:p>
    <w:p w14:paraId="7EDA13E5" w14:textId="77777777" w:rsidR="00BA15E8" w:rsidRPr="00770BF8" w:rsidRDefault="00BA15E8" w:rsidP="002B3914">
      <w:pPr>
        <w:numPr>
          <w:ilvl w:val="0"/>
          <w:numId w:val="12"/>
        </w:numPr>
      </w:pPr>
      <w:r w:rsidRPr="00770BF8">
        <w:t>par une décision du juge des tutelles </w:t>
      </w:r>
      <w:r w:rsidRPr="00770BF8">
        <w:rPr>
          <w:b/>
          <w:bCs/>
        </w:rPr>
        <w:t>révoquant le mandat</w:t>
      </w:r>
      <w:r w:rsidRPr="00770BF8">
        <w:t>, auquel il substituera généralement une mesure judiciaire.</w:t>
      </w:r>
    </w:p>
    <w:p w14:paraId="0F3A33AD" w14:textId="77777777" w:rsidR="00BA15E8" w:rsidRPr="00770BF8" w:rsidRDefault="00BA15E8" w:rsidP="00BA15E8">
      <w:r w:rsidRPr="00770BF8">
        <w:rPr>
          <w:b/>
          <w:bCs/>
        </w:rPr>
        <w:t>Un exemple de révocation respectueuse du mandat de protection future</w:t>
      </w:r>
    </w:p>
    <w:p w14:paraId="46DD3483" w14:textId="77777777" w:rsidR="00BA15E8" w:rsidRPr="00770BF8" w:rsidRDefault="00BA15E8" w:rsidP="00BA15E8">
      <w:r w:rsidRPr="00770BF8">
        <w:t>Un mari avait désigné sa femme comme mandataire dans un mandat de protection future, qui a été mis en œuvre ultérieurement. Eu égard à la gestion manifestement lacunaire de celle-ci, une cour d’appel, avec l’approbation de la Cour de cassation, a fait usage des dispositions des articles 483, 4°, (autorisant la révocation du mandat) et 485, alinéa 1</w:t>
      </w:r>
      <w:r w:rsidRPr="00770BF8">
        <w:rPr>
          <w:vertAlign w:val="superscript"/>
        </w:rPr>
        <w:t>er</w:t>
      </w:r>
      <w:r w:rsidRPr="00770BF8">
        <w:t xml:space="preserve">, (permettant au juge qui met fin au mandat d’ouvrir une mesure de </w:t>
      </w:r>
      <w:r w:rsidRPr="00770BF8">
        <w:lastRenderedPageBreak/>
        <w:t>protection juridique) du Code civil pour révoquer le mandat et ouvrir une mesure de curatelle renforcée en désignant l’UDAF comme curatrice aux biens (Cass. 1</w:t>
      </w:r>
      <w:r w:rsidRPr="00770BF8">
        <w:rPr>
          <w:vertAlign w:val="superscript"/>
        </w:rPr>
        <w:t>re</w:t>
      </w:r>
      <w:r w:rsidRPr="00770BF8">
        <w:t> civ., 17 avr. 2019, n° 18-14250). Elle a cependant maintenu l’épouse comme curatrice à la personne, ce qui garantissait le meilleur respect possible de la volonté du mandant. Il n’était en effet pas contesté qu’elle lui prodiguait les meilleurs soins et que ses carences portaient sur les aspects patrimoniaux de sa mission.</w:t>
      </w:r>
    </w:p>
    <w:p w14:paraId="2F345610" w14:textId="77777777" w:rsidR="00BA15E8" w:rsidRPr="00770BF8" w:rsidRDefault="00BA15E8" w:rsidP="002B3914">
      <w:pPr>
        <w:numPr>
          <w:ilvl w:val="0"/>
          <w:numId w:val="10"/>
        </w:numPr>
        <w:rPr>
          <w:b/>
          <w:bCs/>
        </w:rPr>
      </w:pPr>
      <w:r w:rsidRPr="00770BF8">
        <w:rPr>
          <w:b/>
          <w:bCs/>
        </w:rPr>
        <w:t> </w:t>
      </w:r>
    </w:p>
    <w:p w14:paraId="05D680CD" w14:textId="26E83CEB" w:rsidR="00BA15E8" w:rsidRPr="00DC309F" w:rsidRDefault="00BA15E8" w:rsidP="00930666">
      <w:pPr>
        <w:pStyle w:val="Titre2"/>
        <w:rPr>
          <w:lang w:val="fr-FR"/>
        </w:rPr>
      </w:pPr>
      <w:bookmarkStart w:id="9" w:name="_Toc234734947"/>
      <w:r w:rsidRPr="00DC309F">
        <w:rPr>
          <w:lang w:val="fr-FR"/>
        </w:rPr>
        <w:t>Les personnes concernées par le mandat</w:t>
      </w:r>
      <w:bookmarkEnd w:id="9"/>
    </w:p>
    <w:p w14:paraId="1117FBE9" w14:textId="77777777" w:rsidR="00BA15E8" w:rsidRPr="00770BF8" w:rsidRDefault="00BA15E8" w:rsidP="00BA15E8">
      <w:r w:rsidRPr="00770BF8">
        <w:t>Si toute personne est susceptible de vouloir recourir à un mandat de protection future, ce dernier peut répondre à des demandes particulières, qu’elles émanent de particuliers ou de chefs d’entreprise.</w:t>
      </w:r>
    </w:p>
    <w:p w14:paraId="6027DF67" w14:textId="77777777" w:rsidR="00BA15E8" w:rsidRPr="00770BF8" w:rsidRDefault="00BA15E8" w:rsidP="00BA15E8">
      <w:r w:rsidRPr="00770BF8">
        <w:t> </w:t>
      </w:r>
    </w:p>
    <w:p w14:paraId="74B25060" w14:textId="652C9837" w:rsidR="00BA15E8" w:rsidRPr="00930666" w:rsidRDefault="00BA15E8" w:rsidP="001D0595">
      <w:pPr>
        <w:pStyle w:val="Titre3"/>
      </w:pPr>
      <w:bookmarkStart w:id="10" w:name="_Toc234734948"/>
      <w:r w:rsidRPr="00930666">
        <w:lastRenderedPageBreak/>
        <w:t>Les particuliers</w:t>
      </w:r>
      <w:bookmarkEnd w:id="10"/>
    </w:p>
    <w:p w14:paraId="77C26A88" w14:textId="77777777" w:rsidR="00BA15E8" w:rsidRPr="00770BF8" w:rsidRDefault="00BA15E8" w:rsidP="00BA15E8">
      <w:r w:rsidRPr="00770BF8">
        <w:t>Sont bien entendu concernées toutes les personnes ayant des enfants dont les facultés mentales sont altérées. Le mandat de protection future pour autrui leur est tout particulièrement destiné.</w:t>
      </w:r>
    </w:p>
    <w:p w14:paraId="787DE6C1" w14:textId="77777777" w:rsidR="00BA15E8" w:rsidRPr="00770BF8" w:rsidRDefault="00BA15E8" w:rsidP="00BA15E8">
      <w:r w:rsidRPr="00770BF8">
        <w:t>Un mandat de protection future peut également se justifier par la détention d’un bien particulier, comme une maison de famille dont on souhaiterait préciser la gestion par avance. Des </w:t>
      </w:r>
      <w:r w:rsidRPr="00770BF8">
        <w:rPr>
          <w:b/>
          <w:bCs/>
        </w:rPr>
        <w:t>données affectives</w:t>
      </w:r>
      <w:r w:rsidRPr="00770BF8">
        <w:t> peuvent donc jouer et militer pour inclure des clauses précises dans le mandat.</w:t>
      </w:r>
    </w:p>
    <w:p w14:paraId="110A63FD" w14:textId="77777777" w:rsidR="00BA15E8" w:rsidRPr="00770BF8" w:rsidRDefault="00BA15E8" w:rsidP="00BA15E8">
      <w:r w:rsidRPr="00770BF8">
        <w:t>À l’inverse, l’existence d’un immobilier de placement peut conduire à désigner par avance un mandataire en posant précisément, dans le mandat, les </w:t>
      </w:r>
      <w:r w:rsidRPr="00770BF8">
        <w:rPr>
          <w:b/>
          <w:bCs/>
        </w:rPr>
        <w:t>règles de distribution des revenus</w:t>
      </w:r>
      <w:r w:rsidRPr="00770BF8">
        <w:t>.</w:t>
      </w:r>
    </w:p>
    <w:p w14:paraId="56AAADB6" w14:textId="77777777" w:rsidR="00BA15E8" w:rsidRPr="00770BF8" w:rsidRDefault="00BA15E8" w:rsidP="00BA15E8">
      <w:r w:rsidRPr="00770BF8">
        <w:t> </w:t>
      </w:r>
    </w:p>
    <w:p w14:paraId="6CD6FFEC" w14:textId="4560A4FF" w:rsidR="00BA15E8" w:rsidRPr="00930666" w:rsidRDefault="00BA15E8" w:rsidP="001D0595">
      <w:pPr>
        <w:pStyle w:val="Titre3"/>
      </w:pPr>
      <w:bookmarkStart w:id="11" w:name="_Toc234734949"/>
      <w:r w:rsidRPr="00930666">
        <w:lastRenderedPageBreak/>
        <w:t>Les chefs d’entreprise</w:t>
      </w:r>
      <w:bookmarkEnd w:id="11"/>
    </w:p>
    <w:p w14:paraId="0F24F4A7" w14:textId="77777777" w:rsidR="00BA15E8" w:rsidRPr="00770BF8" w:rsidRDefault="00BA15E8" w:rsidP="00BA15E8">
      <w:r w:rsidRPr="00770BF8">
        <w:t>La gestion d’une entreprise peut justifier le recours à un mandat de protection future qui, le plus souvent, aura alors pour objet des droits sociaux.</w:t>
      </w:r>
    </w:p>
    <w:p w14:paraId="17CA5E26" w14:textId="65E59B67" w:rsidR="005A14F1" w:rsidRDefault="00BA15E8" w:rsidP="00BA15E8">
      <w:r w:rsidRPr="00770BF8">
        <w:t>Il existe plusieurs hypothèses envisageables. Le mandant peut ainsi désigner un mandataire afin de gérer l’entreprise le temps que son fils repreneur soit en situation de le faire lui-même. Il se peut également que le mandataire soit le repreneur lui-même. Le mandat de protection future constituera alors un outil d’anticipation de nature à </w:t>
      </w:r>
      <w:r w:rsidRPr="00770BF8">
        <w:rPr>
          <w:b/>
          <w:bCs/>
        </w:rPr>
        <w:t>assurer la pérennité d’une entreprise</w:t>
      </w:r>
      <w:r w:rsidRPr="00770BF8">
        <w:t> en la mettant à l’abri des conséquences d’une altération des facultés mentales de son dirigeant. À ce stade, celui-ci aura intérêt à envisager plus largement le devenir de son entreprise et notamment sa transmission anticipée et optimisée (donation-partage, pacte </w:t>
      </w:r>
      <w:r w:rsidRPr="00770BF8">
        <w:rPr>
          <w:i/>
          <w:iCs/>
        </w:rPr>
        <w:t>Dutreil</w:t>
      </w:r>
      <w:r w:rsidRPr="00770BF8">
        <w:t>, etc.).</w:t>
      </w:r>
    </w:p>
    <w:p w14:paraId="3487AAEA" w14:textId="77777777" w:rsidR="005A14F1" w:rsidRDefault="005A14F1" w:rsidP="005A14F1">
      <w:pPr>
        <w:pStyle w:val="CGPC-elearning"/>
      </w:pPr>
      <w:r>
        <w:br w:type="page"/>
      </w:r>
    </w:p>
    <w:p w14:paraId="3CC17D02" w14:textId="0CB54CC8" w:rsidR="00BA15E8" w:rsidRPr="00770BF8" w:rsidRDefault="005A14F1" w:rsidP="00BA15E8">
      <w:r>
        <w:rPr>
          <w:noProof/>
        </w:rPr>
        <w:lastRenderedPageBreak/>
        <mc:AlternateContent>
          <mc:Choice Requires="wps">
            <w:drawing>
              <wp:anchor distT="0" distB="0" distL="114300" distR="114300" simplePos="0" relativeHeight="251659776" behindDoc="1" locked="0" layoutInCell="1" allowOverlap="1" wp14:anchorId="3B7032AE" wp14:editId="68AC6837">
                <wp:simplePos x="0" y="0"/>
                <wp:positionH relativeFrom="column">
                  <wp:posOffset>-851338</wp:posOffset>
                </wp:positionH>
                <wp:positionV relativeFrom="paragraph">
                  <wp:posOffset>-1204551</wp:posOffset>
                </wp:positionV>
                <wp:extent cx="10074166" cy="8339958"/>
                <wp:effectExtent l="0" t="0" r="22860" b="23495"/>
                <wp:wrapNone/>
                <wp:docPr id="1104178328" name="Rectangle 5"/>
                <wp:cNvGraphicFramePr/>
                <a:graphic xmlns:a="http://schemas.openxmlformats.org/drawingml/2006/main">
                  <a:graphicData uri="http://schemas.microsoft.com/office/word/2010/wordprocessingShape">
                    <wps:wsp>
                      <wps:cNvSpPr/>
                      <wps:spPr>
                        <a:xfrm>
                          <a:off x="0" y="0"/>
                          <a:ext cx="10074166" cy="8339958"/>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20A6FD" id="Rectangle 5" o:spid="_x0000_s1026" style="position:absolute;margin-left:-67.05pt;margin-top:-94.85pt;width:793.25pt;height:656.7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" fillcolor="#215e99 [2431]" strokecolor="#030e13 [484]" strokeweight="1pt"/>
            </w:pict>
          </mc:Fallback>
        </mc:AlternateContent>
      </w:r>
    </w:p>
    <w:p w14:paraId="364B3AAC" w14:textId="100AE30E" w:rsidR="005A14F1" w:rsidRDefault="005A14F1" w:rsidP="005A14F1"/>
    <w:p w14:paraId="25DABF48" w14:textId="77777777" w:rsidR="005A14F1" w:rsidRDefault="005A14F1" w:rsidP="005A14F1"/>
    <w:p w14:paraId="2B45D2C3" w14:textId="77777777" w:rsidR="005A14F1" w:rsidRDefault="005A14F1" w:rsidP="005A14F1"/>
    <w:p w14:paraId="69C9A9F8" w14:textId="77777777" w:rsidR="005A14F1" w:rsidRDefault="005A14F1" w:rsidP="005A14F1"/>
    <w:p w14:paraId="75AB33A9" w14:textId="77777777" w:rsidR="005A14F1" w:rsidRDefault="005A14F1" w:rsidP="005A14F1"/>
    <w:p w14:paraId="498A831D" w14:textId="788A88B3" w:rsidR="005A14F1" w:rsidRPr="005A14F1" w:rsidRDefault="00BA15E8" w:rsidP="005A14F1">
      <w:pPr>
        <w:pStyle w:val="Titre1"/>
      </w:pPr>
      <w:bookmarkStart w:id="12" w:name="_Toc234734950"/>
      <w:r w:rsidRPr="005A14F1">
        <w:t>Les autres outils d’anticipation de la vulnérabilité</w:t>
      </w:r>
      <w:bookmarkEnd w:id="12"/>
    </w:p>
    <w:p w14:paraId="5CFBA576" w14:textId="77777777" w:rsidR="005A14F1" w:rsidRDefault="005A14F1" w:rsidP="005A14F1">
      <w:pPr>
        <w:pStyle w:val="CGPC-elearning"/>
      </w:pPr>
      <w:r>
        <w:br w:type="page"/>
      </w:r>
    </w:p>
    <w:p w14:paraId="3B2CFA53" w14:textId="77777777" w:rsidR="00BA15E8" w:rsidRPr="00770BF8" w:rsidRDefault="00BA15E8" w:rsidP="00BA15E8">
      <w:r w:rsidRPr="00770BF8">
        <w:lastRenderedPageBreak/>
        <w:t>Anticiper la vulnérabilité ne se résume pas à rédiger un mandat de protection future. Il existe d’autres actes ou stratégies susceptibles de poursuivre le même objectif.</w:t>
      </w:r>
    </w:p>
    <w:p w14:paraId="478C0DE8" w14:textId="77777777" w:rsidR="00BA15E8" w:rsidRPr="00770BF8" w:rsidRDefault="00BA15E8" w:rsidP="00BA15E8">
      <w:r w:rsidRPr="00770BF8">
        <w:t> </w:t>
      </w:r>
    </w:p>
    <w:p w14:paraId="62FE4942" w14:textId="0C9703E7" w:rsidR="00BA15E8" w:rsidRPr="00DC309F" w:rsidRDefault="00BA15E8" w:rsidP="00930666">
      <w:pPr>
        <w:pStyle w:val="Titre2"/>
        <w:numPr>
          <w:ilvl w:val="0"/>
          <w:numId w:val="13"/>
        </w:numPr>
        <w:rPr>
          <w:lang w:val="fr-FR"/>
        </w:rPr>
      </w:pPr>
      <w:bookmarkStart w:id="13" w:name="_Toc234734951"/>
      <w:r w:rsidRPr="00DC309F">
        <w:rPr>
          <w:lang w:val="fr-FR"/>
        </w:rPr>
        <w:t>La sécurisation des actes passés avant la mise sous protection</w:t>
      </w:r>
      <w:bookmarkEnd w:id="13"/>
    </w:p>
    <w:p w14:paraId="504D49DC" w14:textId="512FEA9C" w:rsidR="00BA15E8" w:rsidRPr="00DC309F" w:rsidRDefault="00BA15E8" w:rsidP="001D0595">
      <w:pPr>
        <w:pStyle w:val="Titre3"/>
        <w:numPr>
          <w:ilvl w:val="0"/>
          <w:numId w:val="14"/>
        </w:numPr>
        <w:rPr>
          <w:lang w:val="fr-FR"/>
        </w:rPr>
      </w:pPr>
      <w:bookmarkStart w:id="14" w:name="_Toc234734952"/>
      <w:r w:rsidRPr="00DC309F">
        <w:rPr>
          <w:lang w:val="fr-FR"/>
        </w:rPr>
        <w:t>Par la rédaction précoce de certains actes</w:t>
      </w:r>
      <w:bookmarkEnd w:id="14"/>
    </w:p>
    <w:p w14:paraId="40175171" w14:textId="77777777" w:rsidR="00BA15E8" w:rsidRPr="00770BF8" w:rsidRDefault="00BA15E8" w:rsidP="00BA15E8">
      <w:r w:rsidRPr="00770BF8">
        <w:t>D’abord, dans une perspective générale, détachée du droit des majeurs vulnérables, anticiper la vulnérabilité peut conduire à prendre assez tôt des dispositions à cause de mort, tels un testament ou un contrat d’assurance sur la vie. En effet, plus ces actes seront accomplis à une date proche d’une mise sous protection juridique, plus grande sera la tentation pour les héritiers lésés d’en demander l’annulation pour insanité d’esprit sur le fondement de l’article 414-1 ou 901 du Code civil.</w:t>
      </w:r>
    </w:p>
    <w:p w14:paraId="599C31B1" w14:textId="77777777" w:rsidR="00BA15E8" w:rsidRPr="00770BF8" w:rsidRDefault="00BA15E8" w:rsidP="00BA15E8">
      <w:r w:rsidRPr="00770BF8">
        <w:t>Il en va de même d’une procuration générale ou d’un mandat de protection future.</w:t>
      </w:r>
    </w:p>
    <w:p w14:paraId="582B44BE" w14:textId="77777777" w:rsidR="00BA15E8" w:rsidRPr="00770BF8" w:rsidRDefault="00BA15E8" w:rsidP="00BA15E8">
      <w:r w:rsidRPr="00770BF8">
        <w:lastRenderedPageBreak/>
        <w:t> </w:t>
      </w:r>
    </w:p>
    <w:p w14:paraId="0EF90704" w14:textId="4855377F" w:rsidR="00BA15E8" w:rsidRPr="00DC309F" w:rsidRDefault="00BA15E8" w:rsidP="006A7041">
      <w:pPr>
        <w:pStyle w:val="Titre3"/>
        <w:rPr>
          <w:lang w:val="fr-FR"/>
        </w:rPr>
      </w:pPr>
      <w:bookmarkStart w:id="15" w:name="_Toc234734953"/>
      <w:r w:rsidRPr="00DC309F">
        <w:rPr>
          <w:lang w:val="fr-FR"/>
        </w:rPr>
        <w:t>Par la rédaction d’un certificat médical</w:t>
      </w:r>
      <w:bookmarkEnd w:id="15"/>
    </w:p>
    <w:p w14:paraId="028EDDB4" w14:textId="77777777" w:rsidR="00BA15E8" w:rsidRPr="00770BF8" w:rsidRDefault="00BA15E8" w:rsidP="00BA15E8">
      <w:r w:rsidRPr="00770BF8">
        <w:t>Si l’auteur de l’acte paraît affaibli, il peut être conseillé de faire établir un certificat médical constatant la bonne santé mentale du patient. Solliciter son médecin traitant est la solution la plus simple, mais expose le certificat à être qualifié de « complaisant » par ceux qui souhaiteraient obtenir la nullité de l’acte.</w:t>
      </w:r>
    </w:p>
    <w:p w14:paraId="3DDBED2D" w14:textId="77777777" w:rsidR="00BA15E8" w:rsidRPr="00770BF8" w:rsidRDefault="00BA15E8" w:rsidP="00BA15E8">
      <w:r w:rsidRPr="00770BF8">
        <w:t>S’adresser à un médecin psychiatre, plus à même d’évaluer l’état des facultés mentales, voire à un médecin inscrit sur la liste du procureur de la République, peut constituer un mode de preuve plus pertinent.</w:t>
      </w:r>
    </w:p>
    <w:p w14:paraId="3926A653" w14:textId="77777777" w:rsidR="00BA15E8" w:rsidRPr="00770BF8" w:rsidRDefault="00BA15E8" w:rsidP="00BA15E8">
      <w:r w:rsidRPr="00770BF8">
        <w:t> </w:t>
      </w:r>
    </w:p>
    <w:p w14:paraId="1AC799DE" w14:textId="64E5E19C" w:rsidR="00BA15E8" w:rsidRPr="00DC309F" w:rsidRDefault="00BA15E8" w:rsidP="001D0595">
      <w:pPr>
        <w:pStyle w:val="Titre2"/>
        <w:rPr>
          <w:lang w:val="fr-FR"/>
        </w:rPr>
      </w:pPr>
      <w:bookmarkStart w:id="16" w:name="_Toc234734954"/>
      <w:r w:rsidRPr="00DC309F">
        <w:rPr>
          <w:lang w:val="fr-FR"/>
        </w:rPr>
        <w:lastRenderedPageBreak/>
        <w:t>La désignation d’une personne de confiance</w:t>
      </w:r>
      <w:bookmarkEnd w:id="16"/>
    </w:p>
    <w:p w14:paraId="766699B6" w14:textId="77777777" w:rsidR="00BA15E8" w:rsidRPr="00770BF8" w:rsidRDefault="00BA15E8" w:rsidP="00BA15E8">
      <w:r w:rsidRPr="00770BF8">
        <w:t>Toute personne majeure peut désigner une personne de confiance (parent, proche, médecin traitant…) qui sera consultée au cas où elle-même serait hors d'état d'exprimer sa volonté et de recevoir l'information nécessaire à des </w:t>
      </w:r>
      <w:r w:rsidRPr="00770BF8">
        <w:rPr>
          <w:b/>
          <w:bCs/>
        </w:rPr>
        <w:t>choix médicaux</w:t>
      </w:r>
      <w:r w:rsidRPr="00770BF8">
        <w:t>.</w:t>
      </w:r>
    </w:p>
    <w:p w14:paraId="5923C092" w14:textId="77777777" w:rsidR="00BA15E8" w:rsidRPr="00770BF8" w:rsidRDefault="00BA15E8" w:rsidP="00BA15E8">
      <w:r w:rsidRPr="00770BF8">
        <w:t>Prévue par l’article L. 1111-6 du Code de la santé publique, la désignation de la personne de confiance </w:t>
      </w:r>
      <w:r w:rsidRPr="00770BF8">
        <w:rPr>
          <w:b/>
          <w:bCs/>
        </w:rPr>
        <w:t>n’est pas soumise à des conditions de forme très contraignantes</w:t>
      </w:r>
      <w:r w:rsidRPr="00770BF8">
        <w:t>. Elle doit être faite par écrit, sur papier libre ou dans le cadre de la rédaction de directives anticipées. La désignation doit être cosignée par la personne désignée et comporter les coordonnées de la personne de confiance. Elle est révisable et révocable à tout moment.</w:t>
      </w:r>
    </w:p>
    <w:p w14:paraId="4B9F78C8" w14:textId="77777777" w:rsidR="00BA15E8" w:rsidRPr="00770BF8" w:rsidRDefault="00BA15E8" w:rsidP="00BA15E8">
      <w:r w:rsidRPr="00770BF8">
        <w:t>La personne de confiance rend compte de la volonté de celle qui l’a désignée. En l’absence de directives anticipées, </w:t>
      </w:r>
      <w:r w:rsidRPr="00770BF8">
        <w:rPr>
          <w:b/>
          <w:bCs/>
        </w:rPr>
        <w:t>son avis l’emporte sur tout autre</w:t>
      </w:r>
      <w:r w:rsidRPr="00770BF8">
        <w:t> avis émis par la famille ou les proches. C’est surtout dans les situations de fin de vie que son rôle prend toute son importance ; elle doit alors être consultée et informée de la situation du malade. Pour autant, il ne lui revient pas de prendre les décisions concernant les traitements, qui relèvent du médecin et de l’équipe soignante.</w:t>
      </w:r>
    </w:p>
    <w:p w14:paraId="3FE95F08" w14:textId="77777777" w:rsidR="00BA15E8" w:rsidRPr="00770BF8" w:rsidRDefault="00BA15E8" w:rsidP="00BA15E8">
      <w:r w:rsidRPr="00770BF8">
        <w:lastRenderedPageBreak/>
        <w:t>La mission de la personne de confiance </w:t>
      </w:r>
      <w:r w:rsidRPr="00770BF8">
        <w:rPr>
          <w:b/>
          <w:bCs/>
        </w:rPr>
        <w:t>ne</w:t>
      </w:r>
      <w:r w:rsidRPr="00770BF8">
        <w:t> </w:t>
      </w:r>
      <w:r w:rsidRPr="00770BF8">
        <w:rPr>
          <w:b/>
          <w:bCs/>
        </w:rPr>
        <w:t>doit pas être confondue avec celle du tuteur ou du tuteur à la personne</w:t>
      </w:r>
      <w:r w:rsidRPr="00770BF8">
        <w:t>. Elle se limite à la santé de la personne qui l’a désignée.</w:t>
      </w:r>
    </w:p>
    <w:p w14:paraId="76EF8F98" w14:textId="77777777" w:rsidR="00BA15E8" w:rsidRPr="00770BF8" w:rsidRDefault="00BA15E8" w:rsidP="00BA15E8">
      <w:r w:rsidRPr="00770BF8">
        <w:t>Lorsqu’une personne est sous </w:t>
      </w:r>
      <w:r w:rsidRPr="00770BF8">
        <w:rPr>
          <w:b/>
          <w:bCs/>
        </w:rPr>
        <w:t>tutelle</w:t>
      </w:r>
      <w:r w:rsidRPr="00770BF8">
        <w:t>, sa désignation est subordonnée à l’autorisation du juge des tutelles et du conseil de famille. Si la désignation est antérieure à l’ouverture de la tutelle, elle peut être confirmée ou révoquée par le juge ou le conseil de famille.</w:t>
      </w:r>
    </w:p>
    <w:p w14:paraId="5F64A451" w14:textId="77777777" w:rsidR="00BA15E8" w:rsidRPr="00770BF8" w:rsidRDefault="00BA15E8" w:rsidP="00BA15E8">
      <w:r w:rsidRPr="00770BF8">
        <w:t> </w:t>
      </w:r>
    </w:p>
    <w:p w14:paraId="3300990F" w14:textId="276C63CA" w:rsidR="00BA15E8" w:rsidRPr="001D0595" w:rsidRDefault="00BA15E8" w:rsidP="001D0595">
      <w:pPr>
        <w:pStyle w:val="Titre2"/>
      </w:pPr>
      <w:bookmarkStart w:id="17" w:name="_Toc234734955"/>
      <w:r w:rsidRPr="001D0595">
        <w:t>La rédaction de directives anticipées</w:t>
      </w:r>
      <w:bookmarkEnd w:id="17"/>
    </w:p>
    <w:p w14:paraId="38FCA1ED" w14:textId="77777777" w:rsidR="00BA15E8" w:rsidRPr="00770BF8" w:rsidRDefault="00BA15E8" w:rsidP="00BA15E8">
      <w:r w:rsidRPr="00770BF8">
        <w:t>Les directives anticipées expriment la volonté d’une personne relative à sa </w:t>
      </w:r>
      <w:r w:rsidRPr="00770BF8">
        <w:rPr>
          <w:b/>
          <w:bCs/>
        </w:rPr>
        <w:t>fin de vie</w:t>
      </w:r>
      <w:r w:rsidRPr="00770BF8">
        <w:t> en ce qui concerne les conditions de la poursuite, de la limitation, de l'arrêt ou du refus de traitement ou d'acte médicaux. Elles peuvent désigner la personne de confiance. Elles sont révisables et révocables à tout moment et par tout moyen. Elles peuvent être rédigées conformément à deux modèles mis en ligne sur le site </w:t>
      </w:r>
      <w:r w:rsidRPr="00770BF8">
        <w:rPr>
          <w:i/>
          <w:iCs/>
        </w:rPr>
        <w:t>solidarites-sante.gouv.fr</w:t>
      </w:r>
    </w:p>
    <w:p w14:paraId="4EDCD3E5" w14:textId="77777777" w:rsidR="00BA15E8" w:rsidRPr="00770BF8" w:rsidRDefault="00BA15E8" w:rsidP="00BA15E8">
      <w:r w:rsidRPr="00770BF8">
        <w:lastRenderedPageBreak/>
        <w:t>Aux termes de l’article L. 1111-11 du Code de la santé publique, les directives anticipées s'imposent au médecin pour toute décision d'investigation, d'intervention ou de traitement, sauf en cas d'urgence vitale pendant le temps nécessaire à une évaluation complète de la situation et lorsque les directives anticipées apparaissent manifestement inappropriées ou non conformes à la situation médicale.</w:t>
      </w:r>
    </w:p>
    <w:p w14:paraId="08B9C705" w14:textId="77777777" w:rsidR="00BA15E8" w:rsidRPr="00770BF8" w:rsidRDefault="00BA15E8" w:rsidP="00BA15E8">
      <w:r w:rsidRPr="00770BF8">
        <w:t>La décision de refus d'application des directives anticipées est prise à l'issue d'une procédure collégiale définie par voie réglementaire et est inscrite au dossier médical. Elle est portée à la connaissance de la personne de confiance ou, à défaut, de la famille ou des proches.</w:t>
      </w:r>
    </w:p>
    <w:p w14:paraId="5A14C196" w14:textId="77777777" w:rsidR="00BA15E8" w:rsidRPr="00770BF8" w:rsidRDefault="00BA15E8" w:rsidP="00BA15E8">
      <w:r w:rsidRPr="00770BF8">
        <w:t>Lorsqu'une personne fait l'objet d'une mesure de tutelle, elle peut rédiger des directives anticipées avec l'autorisation du juge ou du conseil de famille s'il a été constitué. Le tuteur ne peut ni l'assister ni la représenter à cette occasion.</w:t>
      </w:r>
    </w:p>
    <w:p w14:paraId="69538F3A" w14:textId="77777777" w:rsidR="00BA15E8" w:rsidRPr="00770BF8" w:rsidRDefault="00BA15E8" w:rsidP="00BA15E8">
      <w:r w:rsidRPr="00770BF8">
        <w:t> </w:t>
      </w:r>
    </w:p>
    <w:p w14:paraId="45AA87F3" w14:textId="216AB6B0" w:rsidR="00BA15E8" w:rsidRPr="00DC309F" w:rsidRDefault="00BA15E8" w:rsidP="001D0595">
      <w:pPr>
        <w:pStyle w:val="Titre2"/>
        <w:rPr>
          <w:lang w:val="fr-FR"/>
        </w:rPr>
      </w:pPr>
      <w:bookmarkStart w:id="18" w:name="_Toc234734956"/>
      <w:r w:rsidRPr="00DC309F">
        <w:rPr>
          <w:lang w:val="fr-FR"/>
        </w:rPr>
        <w:lastRenderedPageBreak/>
        <w:t>La désignation anticipée de la personne chargée de la mesure de protection judiciaire</w:t>
      </w:r>
      <w:bookmarkEnd w:id="18"/>
    </w:p>
    <w:p w14:paraId="3A2E53FD" w14:textId="77777777" w:rsidR="00BA15E8" w:rsidRPr="00770BF8" w:rsidRDefault="00BA15E8" w:rsidP="00BA15E8">
      <w:r w:rsidRPr="00770BF8">
        <w:t>Toute personne majeure peut procéder à la désignation anticipée de son curateur ou tuteur dans l’éventualité d’une perte de ses capacités et de la mise en place d’une mesure de protection judiciaire.</w:t>
      </w:r>
    </w:p>
    <w:p w14:paraId="1E58DB2B" w14:textId="77777777" w:rsidR="00BA15E8" w:rsidRPr="00770BF8" w:rsidRDefault="00BA15E8" w:rsidP="00BA15E8">
      <w:r w:rsidRPr="00770BF8">
        <w:t>Cette désignation se fait par un acte écrit entièrement de sa main (acte sous seing privé) ou par déclaration devant notaire. Cette dernière possibilité est aussi offerte aux parents, lorsqu’ils assument la charge affective et matérielle de leur enfant majeur.</w:t>
      </w:r>
    </w:p>
    <w:p w14:paraId="51DCB452" w14:textId="77777777" w:rsidR="00BA15E8" w:rsidRPr="00770BF8" w:rsidRDefault="00BA15E8" w:rsidP="00BA15E8">
      <w:r w:rsidRPr="00770BF8">
        <w:t>Cette désignation s’imposera au juge des tutelles, sauf si elle est contraire aux intérêts de la personne à protéger ou si la personne désignée refuse d’exercer sa mission ou est dans l’impossibilité de l’exercer.</w:t>
      </w:r>
    </w:p>
    <w:p w14:paraId="1AFE945E" w14:textId="77777777" w:rsidR="00BA15E8" w:rsidRPr="00770BF8" w:rsidRDefault="00BA15E8" w:rsidP="00BA15E8">
      <w:r w:rsidRPr="00770BF8">
        <w:t> </w:t>
      </w:r>
    </w:p>
    <w:p w14:paraId="338EA72D" w14:textId="69CC1852" w:rsidR="00BA15E8" w:rsidRPr="001D0595" w:rsidRDefault="00BA15E8" w:rsidP="001D0595">
      <w:pPr>
        <w:pStyle w:val="Titre2"/>
      </w:pPr>
      <w:bookmarkStart w:id="19" w:name="_Toc234734957"/>
      <w:r w:rsidRPr="001D0595">
        <w:lastRenderedPageBreak/>
        <w:t>Le mandat posthume</w:t>
      </w:r>
      <w:bookmarkEnd w:id="19"/>
    </w:p>
    <w:p w14:paraId="02B038B3" w14:textId="77777777" w:rsidR="00BA15E8" w:rsidRPr="00770BF8" w:rsidRDefault="00BA15E8" w:rsidP="00BA15E8">
      <w:r w:rsidRPr="00770BF8">
        <w:t>La rédaction d’un mandat posthume a pour finalité de permettre au mandant de désigner, avant son décès, un mandataire ayant pour mission de gérer son patrimoine après l’ouverture de sa succession. Réglementé par les articles 812 et suivants du Code civil issus de la loi du 23 juin 2006, entré en vigueur le 1</w:t>
      </w:r>
      <w:r w:rsidRPr="00770BF8">
        <w:rPr>
          <w:vertAlign w:val="superscript"/>
        </w:rPr>
        <w:t>er</w:t>
      </w:r>
      <w:r w:rsidRPr="00770BF8">
        <w:t> janvier 2007, il vise notamment à faciliter la transmission des entreprises en permettant à leurs dirigeants de désigner une personne compétente pour assurer la continuité de l’exploitation dans l’attente, par exemple, de la maturité d’un héritier. L’autre hypothèse envisagée est de faciliter la gestion après décès des biens revenant à une personne handicapée.</w:t>
      </w:r>
    </w:p>
    <w:p w14:paraId="3D7BEC37" w14:textId="77777777" w:rsidR="00BA15E8" w:rsidRPr="00770BF8" w:rsidRDefault="00BA15E8" w:rsidP="00BA15E8">
      <w:r w:rsidRPr="00770BF8">
        <w:t>S’agissant des conditions de fond, la validité du mandat posthume est subordonnée à l’existence d’un intérêt sérieux et légitime. Sur le plan formel, le mandat posthume doit être passé en la forme authentique (devant notaire). Il doit être accepté du vivant du mandant.</w:t>
      </w:r>
    </w:p>
    <w:p w14:paraId="5621D4DF" w14:textId="77777777" w:rsidR="00BA15E8" w:rsidRPr="00770BF8" w:rsidRDefault="00BA15E8" w:rsidP="00BA15E8">
      <w:r w:rsidRPr="00770BF8">
        <w:t>Par nature provisoire, sa durée ne peut en principe excéder deux ans. Il peut cependant, par exception, être conclu pour cinq ans. Il est prorogeable par le juge dans certains cas.</w:t>
      </w:r>
    </w:p>
    <w:p w14:paraId="6AF04627" w14:textId="77777777" w:rsidR="00BA15E8" w:rsidRPr="00770BF8" w:rsidRDefault="00BA15E8" w:rsidP="00BA15E8">
      <w:r w:rsidRPr="00770BF8">
        <w:lastRenderedPageBreak/>
        <w:t>Son exécution est en principe gratuite, sauf convention contraire. La rémunération du mandataire correspond alors à une part des fruits et revenus perçus par la succession et résultant de la gestion ou de l'administration du mandataire. En cas d'insuffisance ou d'absence de fruits et revenus, elle peut être complétée par un capital ou prendre la forme d'un capital.</w:t>
      </w:r>
    </w:p>
    <w:p w14:paraId="1EC02986" w14:textId="77777777" w:rsidR="00BA15E8" w:rsidRPr="00770BF8" w:rsidRDefault="00BA15E8" w:rsidP="00BA15E8">
      <w:r w:rsidRPr="00770BF8">
        <w:t>Le mandat posthume peut être conféré pour tout ou partie de la succession et en particulier, seulement sur les biens professionnels. Il permet, en l’absence de successeur désigné ou compétent, de charger un professionnel qualifié d’accompagner la reprise de l’entreprise par un héritier ou la vente.</w:t>
      </w:r>
    </w:p>
    <w:p w14:paraId="4D05CE20" w14:textId="77777777" w:rsidR="00BA15E8" w:rsidRPr="00770BF8" w:rsidRDefault="00BA15E8" w:rsidP="00BA15E8">
      <w:r w:rsidRPr="00770BF8">
        <w:t>Ce mandataire ne peut réaliser que des actes conservatoires jusqu’à l’acceptation d’au moins un héritier, puis de gérer et d’administrer les biens qui lui sont confiés, en ne lui permettant pas de vendre les actifs ni de s’opposer à leur vente par les héritiers. Cette gestion courante peut lui permettre d’exercer la totalité des droits de vote d’une entreprise sociale, de désigner les dirigeants (qui peuvent être lui-même, si le mandat le précise) et d’éventuellement céder les actifs d’une société (voire des participations dans le cas d’une holding).</w:t>
      </w:r>
    </w:p>
    <w:p w14:paraId="7683416D" w14:textId="77777777" w:rsidR="00F706D2" w:rsidRDefault="00F706D2"/>
    <w:sectPr w:rsidR="00F706D2" w:rsidSect="00655786">
      <w:headerReference w:type="default" r:id="rId11"/>
      <w:footerReference w:type="default" r:id="rId12"/>
      <w:pgSz w:w="15840" w:h="12240" w:orient="landscape"/>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2D99" w14:textId="77777777" w:rsidR="001F5350" w:rsidRPr="00770BF8" w:rsidRDefault="001F5350" w:rsidP="00176CF1">
      <w:pPr>
        <w:spacing w:after="0" w:line="240" w:lineRule="auto"/>
      </w:pPr>
      <w:r w:rsidRPr="00770BF8">
        <w:separator/>
      </w:r>
    </w:p>
  </w:endnote>
  <w:endnote w:type="continuationSeparator" w:id="0">
    <w:p w14:paraId="7D6F9FD0" w14:textId="77777777" w:rsidR="001F5350" w:rsidRPr="00770BF8" w:rsidRDefault="001F5350" w:rsidP="00176CF1">
      <w:pPr>
        <w:spacing w:after="0" w:line="240" w:lineRule="auto"/>
      </w:pPr>
      <w:r w:rsidRPr="00770B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C43EE" w14:textId="7F1012FE" w:rsidR="00975DB8" w:rsidRDefault="001F5350">
    <w:pPr>
      <w:pStyle w:val="Pieddepage"/>
      <w:jc w:val="center"/>
    </w:pPr>
    <w:sdt>
      <w:sdtPr>
        <w:id w:val="-1113359282"/>
        <w:docPartObj>
          <w:docPartGallery w:val="Page Numbers (Bottom of Page)"/>
          <w:docPartUnique/>
        </w:docPartObj>
      </w:sdtPr>
      <w:sdtEndPr/>
      <w:sdtContent>
        <w:r w:rsidR="00975DB8">
          <w:fldChar w:fldCharType="begin"/>
        </w:r>
        <w:r w:rsidR="00975DB8">
          <w:instrText>PAGE   \* MERGEFORMAT</w:instrText>
        </w:r>
        <w:r w:rsidR="00975DB8">
          <w:fldChar w:fldCharType="separate"/>
        </w:r>
        <w:r w:rsidR="00975DB8">
          <w:t>2</w:t>
        </w:r>
        <w:r w:rsidR="00975DB8">
          <w:fldChar w:fldCharType="end"/>
        </w:r>
      </w:sdtContent>
    </w:sdt>
  </w:p>
  <w:p w14:paraId="1F6A1247" w14:textId="003FB9F5" w:rsidR="00681D1B" w:rsidRPr="00EB5A95" w:rsidRDefault="00681D1B" w:rsidP="00EB5A95">
    <w:pPr>
      <w:pStyle w:val="Pieddepage"/>
      <w:rPr>
        <w:i/>
        <w:iCs/>
        <w:sz w:val="22"/>
      </w:rPr>
    </w:pPr>
    <w:r w:rsidRPr="00EB5A95">
      <w:rPr>
        <w:i/>
        <w:iCs/>
        <w:sz w:val="22"/>
      </w:rPr>
      <w:t xml:space="preserve">Copyright </w:t>
    </w:r>
    <w:r w:rsidR="00C7663D">
      <w:rPr>
        <w:i/>
        <w:iCs/>
        <w:sz w:val="22"/>
      </w:rPr>
      <w:t>CGPC</w:t>
    </w:r>
    <w:r w:rsidRPr="00EB5A95">
      <w:rPr>
        <w:i/>
        <w:iCs/>
        <w:sz w:val="22"/>
      </w:rPr>
      <w:t>-</w:t>
    </w:r>
    <w:r w:rsidR="00C7663D">
      <w:rPr>
        <w:i/>
        <w:iCs/>
        <w:sz w:val="22"/>
      </w:rPr>
      <w:t>D</w:t>
    </w:r>
    <w:r w:rsidRPr="00EB5A95">
      <w:rPr>
        <w:i/>
        <w:iCs/>
        <w:sz w:val="22"/>
      </w:rPr>
      <w:t>éveloppement</w:t>
    </w:r>
  </w:p>
  <w:p w14:paraId="0C7852F6" w14:textId="77777777" w:rsidR="00975DB8" w:rsidRDefault="00975D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F1675" w14:textId="77777777" w:rsidR="001F5350" w:rsidRPr="00770BF8" w:rsidRDefault="001F5350" w:rsidP="00176CF1">
      <w:pPr>
        <w:spacing w:after="0" w:line="240" w:lineRule="auto"/>
      </w:pPr>
      <w:r w:rsidRPr="00770BF8">
        <w:separator/>
      </w:r>
    </w:p>
  </w:footnote>
  <w:footnote w:type="continuationSeparator" w:id="0">
    <w:p w14:paraId="1E4518A6" w14:textId="77777777" w:rsidR="001F5350" w:rsidRPr="00770BF8" w:rsidRDefault="001F5350" w:rsidP="00176CF1">
      <w:pPr>
        <w:spacing w:after="0" w:line="240" w:lineRule="auto"/>
      </w:pPr>
      <w:r w:rsidRPr="00770BF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9099" w14:textId="4F458983" w:rsidR="00176CF1" w:rsidRPr="00770BF8" w:rsidRDefault="00176CF1">
    <w:pPr>
      <w:pStyle w:val="En-tte"/>
    </w:pPr>
    <w:r w:rsidRPr="00770BF8">
      <w:rPr>
        <w:noProof/>
      </w:rPr>
      <mc:AlternateContent>
        <mc:Choice Requires="wps">
          <w:drawing>
            <wp:anchor distT="0" distB="0" distL="118745" distR="118745" simplePos="0" relativeHeight="251659264" behindDoc="1" locked="0" layoutInCell="1" allowOverlap="0" wp14:anchorId="39B95556" wp14:editId="160B898E">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F4D9D9E" w14:textId="70A857AB" w:rsidR="00176CF1" w:rsidRPr="00770BF8" w:rsidRDefault="00176CF1">
                              <w:pPr>
                                <w:pStyle w:val="En-tte"/>
                                <w:tabs>
                                  <w:tab w:val="clear" w:pos="4680"/>
                                  <w:tab w:val="clear" w:pos="9360"/>
                                </w:tabs>
                                <w:jc w:val="center"/>
                                <w:rPr>
                                  <w:caps/>
                                  <w:color w:val="FFFFFF" w:themeColor="background1"/>
                                </w:rPr>
                              </w:pPr>
                              <w:r w:rsidRPr="00770BF8">
                                <w:rPr>
                                  <w:caps/>
                                  <w:color w:val="FFFFFF" w:themeColor="background1"/>
                                </w:rPr>
                                <w:t>Chapitre 2 : l’anticipation de la vulnérabilité d’une personne</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9B95556" id="Rectangle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156082 [3204]" stroked="f" strokeweight="1pt">
              <v:textbox style="mso-fit-shape-to-text:t">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7F4D9D9E" w14:textId="70A857AB" w:rsidR="00176CF1" w:rsidRPr="00770BF8" w:rsidRDefault="00176CF1">
                        <w:pPr>
                          <w:pStyle w:val="En-tte"/>
                          <w:tabs>
                            <w:tab w:val="clear" w:pos="4680"/>
                            <w:tab w:val="clear" w:pos="9360"/>
                          </w:tabs>
                          <w:jc w:val="center"/>
                          <w:rPr>
                            <w:caps/>
                            <w:color w:val="FFFFFF" w:themeColor="background1"/>
                          </w:rPr>
                        </w:pPr>
                        <w:r w:rsidRPr="00770BF8">
                          <w:rPr>
                            <w:caps/>
                            <w:color w:val="FFFFFF" w:themeColor="background1"/>
                          </w:rPr>
                          <w:t>Chapitre 2 : l’anticipation de la vulnérabilité d’une personne</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B18"/>
    <w:multiLevelType w:val="multilevel"/>
    <w:tmpl w:val="9CDC0D34"/>
    <w:lvl w:ilvl="0">
      <w:start w:val="1"/>
      <w:numFmt w:val="upperLetter"/>
      <w:pStyle w:val="Titre3"/>
      <w:lvlText w:val="%1."/>
      <w:lvlJc w:val="left"/>
      <w:pPr>
        <w:ind w:left="360" w:hanging="36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733785"/>
    <w:multiLevelType w:val="hybridMultilevel"/>
    <w:tmpl w:val="87E00996"/>
    <w:lvl w:ilvl="0" w:tplc="DD628414">
      <w:start w:val="1"/>
      <w:numFmt w:val="lowerLetter"/>
      <w:pStyle w:val="Titre4"/>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955B1"/>
    <w:multiLevelType w:val="hybridMultilevel"/>
    <w:tmpl w:val="D03C3B2A"/>
    <w:lvl w:ilvl="0" w:tplc="EA4AB77E">
      <w:start w:val="1"/>
      <w:numFmt w:val="upperRoman"/>
      <w:pStyle w:val="Titre1"/>
      <w:lvlText w:val="%1."/>
      <w:lvlJc w:val="right"/>
      <w:pPr>
        <w:ind w:left="72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90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540" w:hanging="180"/>
      </w:pPr>
    </w:lvl>
    <w:lvl w:ilvl="6" w:tplc="FFFFFFFF" w:tentative="1">
      <w:start w:val="1"/>
      <w:numFmt w:val="decimal"/>
      <w:lvlText w:val="%7."/>
      <w:lvlJc w:val="left"/>
      <w:pPr>
        <w:ind w:left="126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2700" w:hanging="180"/>
      </w:pPr>
    </w:lvl>
  </w:abstractNum>
  <w:abstractNum w:abstractNumId="3" w15:restartNumberingAfterBreak="0">
    <w:nsid w:val="26E54CC8"/>
    <w:multiLevelType w:val="multilevel"/>
    <w:tmpl w:val="E1FACFF2"/>
    <w:lvl w:ilvl="0">
      <w:start w:val="1"/>
      <w:numFmt w:val="bullet"/>
      <w:pStyle w:val="Puces1"/>
      <w:lvlText w:val=""/>
      <w:lvlJc w:val="left"/>
      <w:pPr>
        <w:ind w:left="34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471F95"/>
    <w:multiLevelType w:val="multilevel"/>
    <w:tmpl w:val="9FFA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750FDD"/>
    <w:multiLevelType w:val="multilevel"/>
    <w:tmpl w:val="9DF07620"/>
    <w:lvl w:ilvl="0">
      <w:start w:val="1"/>
      <w:numFmt w:val="decimal"/>
      <w:pStyle w:val="Puce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FC869BB"/>
    <w:multiLevelType w:val="hybridMultilevel"/>
    <w:tmpl w:val="DDF816E6"/>
    <w:lvl w:ilvl="0" w:tplc="DDD4A87A">
      <w:start w:val="1"/>
      <w:numFmt w:val="decimal"/>
      <w:pStyle w:val="Titre2"/>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730E4C"/>
    <w:multiLevelType w:val="multilevel"/>
    <w:tmpl w:val="5608E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F40D54"/>
    <w:multiLevelType w:val="multilevel"/>
    <w:tmpl w:val="2370F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B50206"/>
    <w:multiLevelType w:val="multilevel"/>
    <w:tmpl w:val="7EF6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6DA6143"/>
    <w:multiLevelType w:val="multilevel"/>
    <w:tmpl w:val="2F52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9F31F85"/>
    <w:multiLevelType w:val="multilevel"/>
    <w:tmpl w:val="CABA0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9172169">
    <w:abstractNumId w:val="6"/>
  </w:num>
  <w:num w:numId="2" w16cid:durableId="705953934">
    <w:abstractNumId w:val="1"/>
  </w:num>
  <w:num w:numId="3" w16cid:durableId="822544267">
    <w:abstractNumId w:val="0"/>
  </w:num>
  <w:num w:numId="4" w16cid:durableId="748963048">
    <w:abstractNumId w:val="3"/>
  </w:num>
  <w:num w:numId="5" w16cid:durableId="454754748">
    <w:abstractNumId w:val="5"/>
  </w:num>
  <w:num w:numId="6" w16cid:durableId="899556199">
    <w:abstractNumId w:val="2"/>
  </w:num>
  <w:num w:numId="7" w16cid:durableId="1216815111">
    <w:abstractNumId w:val="8"/>
  </w:num>
  <w:num w:numId="8" w16cid:durableId="1536966882">
    <w:abstractNumId w:val="9"/>
  </w:num>
  <w:num w:numId="9" w16cid:durableId="948312666">
    <w:abstractNumId w:val="7"/>
  </w:num>
  <w:num w:numId="10" w16cid:durableId="789318696">
    <w:abstractNumId w:val="4"/>
  </w:num>
  <w:num w:numId="11" w16cid:durableId="1821842473">
    <w:abstractNumId w:val="11"/>
  </w:num>
  <w:num w:numId="12" w16cid:durableId="1285044543">
    <w:abstractNumId w:val="10"/>
  </w:num>
  <w:num w:numId="13" w16cid:durableId="913003786">
    <w:abstractNumId w:val="6"/>
    <w:lvlOverride w:ilvl="0">
      <w:startOverride w:val="1"/>
    </w:lvlOverride>
  </w:num>
  <w:num w:numId="14" w16cid:durableId="16384936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E76"/>
    <w:rsid w:val="000068D7"/>
    <w:rsid w:val="00010F8E"/>
    <w:rsid w:val="000120AE"/>
    <w:rsid w:val="00021961"/>
    <w:rsid w:val="00024547"/>
    <w:rsid w:val="00044879"/>
    <w:rsid w:val="00047F3D"/>
    <w:rsid w:val="00055564"/>
    <w:rsid w:val="00063698"/>
    <w:rsid w:val="00074304"/>
    <w:rsid w:val="000769CA"/>
    <w:rsid w:val="000772EE"/>
    <w:rsid w:val="00085A86"/>
    <w:rsid w:val="000943AC"/>
    <w:rsid w:val="000B2E79"/>
    <w:rsid w:val="000B78CE"/>
    <w:rsid w:val="000C3E3D"/>
    <w:rsid w:val="000C58B2"/>
    <w:rsid w:val="000D1C83"/>
    <w:rsid w:val="000F3EA1"/>
    <w:rsid w:val="00105378"/>
    <w:rsid w:val="001245CB"/>
    <w:rsid w:val="0013240D"/>
    <w:rsid w:val="00137A70"/>
    <w:rsid w:val="00151174"/>
    <w:rsid w:val="0015170F"/>
    <w:rsid w:val="00166091"/>
    <w:rsid w:val="0017635E"/>
    <w:rsid w:val="00176CF1"/>
    <w:rsid w:val="00185990"/>
    <w:rsid w:val="00192E1C"/>
    <w:rsid w:val="00196C55"/>
    <w:rsid w:val="0019778D"/>
    <w:rsid w:val="001A1935"/>
    <w:rsid w:val="001B3EFC"/>
    <w:rsid w:val="001B5C2E"/>
    <w:rsid w:val="001C0CBF"/>
    <w:rsid w:val="001D0595"/>
    <w:rsid w:val="001D2486"/>
    <w:rsid w:val="001D6819"/>
    <w:rsid w:val="001E3527"/>
    <w:rsid w:val="001E3A03"/>
    <w:rsid w:val="001E57A3"/>
    <w:rsid w:val="001E5995"/>
    <w:rsid w:val="001E62B8"/>
    <w:rsid w:val="001F2491"/>
    <w:rsid w:val="001F5350"/>
    <w:rsid w:val="001F6517"/>
    <w:rsid w:val="00230E4C"/>
    <w:rsid w:val="00233422"/>
    <w:rsid w:val="00234284"/>
    <w:rsid w:val="0023674B"/>
    <w:rsid w:val="00236B05"/>
    <w:rsid w:val="00242596"/>
    <w:rsid w:val="00243A0A"/>
    <w:rsid w:val="00256CE9"/>
    <w:rsid w:val="002601E5"/>
    <w:rsid w:val="0026041E"/>
    <w:rsid w:val="00261743"/>
    <w:rsid w:val="00264198"/>
    <w:rsid w:val="00266E5C"/>
    <w:rsid w:val="00271DEF"/>
    <w:rsid w:val="00276AFD"/>
    <w:rsid w:val="002843F0"/>
    <w:rsid w:val="00291A6A"/>
    <w:rsid w:val="00292EF8"/>
    <w:rsid w:val="002B3914"/>
    <w:rsid w:val="002D7277"/>
    <w:rsid w:val="002D79C0"/>
    <w:rsid w:val="002F5307"/>
    <w:rsid w:val="002F5C24"/>
    <w:rsid w:val="003134E7"/>
    <w:rsid w:val="0032045F"/>
    <w:rsid w:val="00337A4F"/>
    <w:rsid w:val="00340103"/>
    <w:rsid w:val="00341A76"/>
    <w:rsid w:val="00347C4C"/>
    <w:rsid w:val="00355D94"/>
    <w:rsid w:val="00356475"/>
    <w:rsid w:val="00357C0D"/>
    <w:rsid w:val="00363456"/>
    <w:rsid w:val="00381697"/>
    <w:rsid w:val="003A1E3A"/>
    <w:rsid w:val="003B0923"/>
    <w:rsid w:val="003B09F9"/>
    <w:rsid w:val="003C710B"/>
    <w:rsid w:val="003E0223"/>
    <w:rsid w:val="00400FE6"/>
    <w:rsid w:val="00410A2B"/>
    <w:rsid w:val="00420384"/>
    <w:rsid w:val="00422165"/>
    <w:rsid w:val="00434FA4"/>
    <w:rsid w:val="00435D18"/>
    <w:rsid w:val="004424D6"/>
    <w:rsid w:val="00451D0C"/>
    <w:rsid w:val="00453368"/>
    <w:rsid w:val="00453978"/>
    <w:rsid w:val="00455DDF"/>
    <w:rsid w:val="00456CB6"/>
    <w:rsid w:val="0045759E"/>
    <w:rsid w:val="00457757"/>
    <w:rsid w:val="00460F3E"/>
    <w:rsid w:val="00465579"/>
    <w:rsid w:val="0046758F"/>
    <w:rsid w:val="00476867"/>
    <w:rsid w:val="00491138"/>
    <w:rsid w:val="004A2F8A"/>
    <w:rsid w:val="004C0879"/>
    <w:rsid w:val="004C273B"/>
    <w:rsid w:val="004C7914"/>
    <w:rsid w:val="004D4487"/>
    <w:rsid w:val="004F0D8D"/>
    <w:rsid w:val="004F1B6F"/>
    <w:rsid w:val="004F4A31"/>
    <w:rsid w:val="004F7433"/>
    <w:rsid w:val="0050079A"/>
    <w:rsid w:val="00513D76"/>
    <w:rsid w:val="0051755C"/>
    <w:rsid w:val="0052407D"/>
    <w:rsid w:val="00527F5F"/>
    <w:rsid w:val="0053435D"/>
    <w:rsid w:val="0054104E"/>
    <w:rsid w:val="00541CBC"/>
    <w:rsid w:val="00544306"/>
    <w:rsid w:val="00562856"/>
    <w:rsid w:val="00565AB1"/>
    <w:rsid w:val="005868C6"/>
    <w:rsid w:val="00591F8A"/>
    <w:rsid w:val="00593959"/>
    <w:rsid w:val="00597DA4"/>
    <w:rsid w:val="005A14F1"/>
    <w:rsid w:val="005A2768"/>
    <w:rsid w:val="005B2FCC"/>
    <w:rsid w:val="005E331A"/>
    <w:rsid w:val="005E5E8D"/>
    <w:rsid w:val="005F17D3"/>
    <w:rsid w:val="005F4609"/>
    <w:rsid w:val="00606D37"/>
    <w:rsid w:val="00625992"/>
    <w:rsid w:val="00630957"/>
    <w:rsid w:val="0063274C"/>
    <w:rsid w:val="006500C1"/>
    <w:rsid w:val="006533F8"/>
    <w:rsid w:val="006546CE"/>
    <w:rsid w:val="00655786"/>
    <w:rsid w:val="006649C4"/>
    <w:rsid w:val="00671125"/>
    <w:rsid w:val="00671A5F"/>
    <w:rsid w:val="00676680"/>
    <w:rsid w:val="00681D1B"/>
    <w:rsid w:val="006870F9"/>
    <w:rsid w:val="006A0CF8"/>
    <w:rsid w:val="006A158A"/>
    <w:rsid w:val="006A7041"/>
    <w:rsid w:val="006B47E0"/>
    <w:rsid w:val="006C0FA3"/>
    <w:rsid w:val="006C32B4"/>
    <w:rsid w:val="006C4B8F"/>
    <w:rsid w:val="006C7A05"/>
    <w:rsid w:val="006E62EE"/>
    <w:rsid w:val="006E6B7E"/>
    <w:rsid w:val="006F0D1A"/>
    <w:rsid w:val="006F13D3"/>
    <w:rsid w:val="006F4572"/>
    <w:rsid w:val="006F564D"/>
    <w:rsid w:val="00703C34"/>
    <w:rsid w:val="00713E76"/>
    <w:rsid w:val="00717890"/>
    <w:rsid w:val="00726A78"/>
    <w:rsid w:val="007438F9"/>
    <w:rsid w:val="00755B60"/>
    <w:rsid w:val="007641CA"/>
    <w:rsid w:val="007659B9"/>
    <w:rsid w:val="00770BF8"/>
    <w:rsid w:val="0077616A"/>
    <w:rsid w:val="00782AC1"/>
    <w:rsid w:val="007A0B3B"/>
    <w:rsid w:val="007A4E5F"/>
    <w:rsid w:val="007B112F"/>
    <w:rsid w:val="007D0B5B"/>
    <w:rsid w:val="007D23BB"/>
    <w:rsid w:val="007D4A04"/>
    <w:rsid w:val="007D7743"/>
    <w:rsid w:val="007E0718"/>
    <w:rsid w:val="007E3C6A"/>
    <w:rsid w:val="007E59C8"/>
    <w:rsid w:val="007E5D11"/>
    <w:rsid w:val="007E61D9"/>
    <w:rsid w:val="007F1211"/>
    <w:rsid w:val="007F6A94"/>
    <w:rsid w:val="00810DA1"/>
    <w:rsid w:val="008222B6"/>
    <w:rsid w:val="008432F3"/>
    <w:rsid w:val="00844A15"/>
    <w:rsid w:val="008543A5"/>
    <w:rsid w:val="00875ED0"/>
    <w:rsid w:val="008804C8"/>
    <w:rsid w:val="008A5FE1"/>
    <w:rsid w:val="008C43A6"/>
    <w:rsid w:val="008D300F"/>
    <w:rsid w:val="008D500F"/>
    <w:rsid w:val="008D6D87"/>
    <w:rsid w:val="008D770D"/>
    <w:rsid w:val="008E461E"/>
    <w:rsid w:val="00914EDB"/>
    <w:rsid w:val="009164B6"/>
    <w:rsid w:val="0092113E"/>
    <w:rsid w:val="00930666"/>
    <w:rsid w:val="00950601"/>
    <w:rsid w:val="00951CFF"/>
    <w:rsid w:val="009579FD"/>
    <w:rsid w:val="0096065D"/>
    <w:rsid w:val="00961BB7"/>
    <w:rsid w:val="00961D98"/>
    <w:rsid w:val="009623ED"/>
    <w:rsid w:val="00975DB8"/>
    <w:rsid w:val="00981D38"/>
    <w:rsid w:val="0098465C"/>
    <w:rsid w:val="009862A2"/>
    <w:rsid w:val="00987161"/>
    <w:rsid w:val="00996A86"/>
    <w:rsid w:val="00996BFB"/>
    <w:rsid w:val="009A7BB9"/>
    <w:rsid w:val="009B7BAD"/>
    <w:rsid w:val="009E0A4F"/>
    <w:rsid w:val="009E56BE"/>
    <w:rsid w:val="009F516A"/>
    <w:rsid w:val="00A01828"/>
    <w:rsid w:val="00A123CF"/>
    <w:rsid w:val="00A1792A"/>
    <w:rsid w:val="00A20026"/>
    <w:rsid w:val="00A21E8B"/>
    <w:rsid w:val="00A44F50"/>
    <w:rsid w:val="00A520DA"/>
    <w:rsid w:val="00A53B89"/>
    <w:rsid w:val="00A66F71"/>
    <w:rsid w:val="00A71BF7"/>
    <w:rsid w:val="00A727A7"/>
    <w:rsid w:val="00A84B0B"/>
    <w:rsid w:val="00A8773A"/>
    <w:rsid w:val="00A87819"/>
    <w:rsid w:val="00AA2C54"/>
    <w:rsid w:val="00AA608F"/>
    <w:rsid w:val="00AB63E9"/>
    <w:rsid w:val="00AC2344"/>
    <w:rsid w:val="00AC2FAE"/>
    <w:rsid w:val="00AC4BE3"/>
    <w:rsid w:val="00AD07AC"/>
    <w:rsid w:val="00AD31CA"/>
    <w:rsid w:val="00AD46E7"/>
    <w:rsid w:val="00AE1D58"/>
    <w:rsid w:val="00AE5BDD"/>
    <w:rsid w:val="00B1013D"/>
    <w:rsid w:val="00B1628E"/>
    <w:rsid w:val="00B17842"/>
    <w:rsid w:val="00B20A24"/>
    <w:rsid w:val="00B27B84"/>
    <w:rsid w:val="00B307B6"/>
    <w:rsid w:val="00B3579E"/>
    <w:rsid w:val="00B35B7F"/>
    <w:rsid w:val="00B35F0B"/>
    <w:rsid w:val="00B360DE"/>
    <w:rsid w:val="00B43697"/>
    <w:rsid w:val="00B603BE"/>
    <w:rsid w:val="00BA15E8"/>
    <w:rsid w:val="00BA713F"/>
    <w:rsid w:val="00BA7382"/>
    <w:rsid w:val="00BB6E73"/>
    <w:rsid w:val="00BC4C57"/>
    <w:rsid w:val="00BC579A"/>
    <w:rsid w:val="00BE1C95"/>
    <w:rsid w:val="00BE6C59"/>
    <w:rsid w:val="00BF202F"/>
    <w:rsid w:val="00C027B8"/>
    <w:rsid w:val="00C02DEE"/>
    <w:rsid w:val="00C04379"/>
    <w:rsid w:val="00C10C58"/>
    <w:rsid w:val="00C17F6E"/>
    <w:rsid w:val="00C218AA"/>
    <w:rsid w:val="00C2276C"/>
    <w:rsid w:val="00C24889"/>
    <w:rsid w:val="00C27E1D"/>
    <w:rsid w:val="00C3690F"/>
    <w:rsid w:val="00C561B4"/>
    <w:rsid w:val="00C61AC2"/>
    <w:rsid w:val="00C621A9"/>
    <w:rsid w:val="00C644AB"/>
    <w:rsid w:val="00C700D3"/>
    <w:rsid w:val="00C747A2"/>
    <w:rsid w:val="00C75E3D"/>
    <w:rsid w:val="00C7663D"/>
    <w:rsid w:val="00C81529"/>
    <w:rsid w:val="00C82A5A"/>
    <w:rsid w:val="00C937B9"/>
    <w:rsid w:val="00C978B1"/>
    <w:rsid w:val="00CC1F01"/>
    <w:rsid w:val="00CC68FB"/>
    <w:rsid w:val="00CD3791"/>
    <w:rsid w:val="00CD75C0"/>
    <w:rsid w:val="00CF422C"/>
    <w:rsid w:val="00D02170"/>
    <w:rsid w:val="00D07BBA"/>
    <w:rsid w:val="00D24653"/>
    <w:rsid w:val="00D27119"/>
    <w:rsid w:val="00D30206"/>
    <w:rsid w:val="00D313F1"/>
    <w:rsid w:val="00D45A50"/>
    <w:rsid w:val="00D45C6C"/>
    <w:rsid w:val="00D50307"/>
    <w:rsid w:val="00D543AD"/>
    <w:rsid w:val="00D549FF"/>
    <w:rsid w:val="00D76E61"/>
    <w:rsid w:val="00D77BD2"/>
    <w:rsid w:val="00D83088"/>
    <w:rsid w:val="00D918D4"/>
    <w:rsid w:val="00DA219D"/>
    <w:rsid w:val="00DB2C90"/>
    <w:rsid w:val="00DB3BF2"/>
    <w:rsid w:val="00DC309F"/>
    <w:rsid w:val="00DE45E1"/>
    <w:rsid w:val="00DF2AAC"/>
    <w:rsid w:val="00E0330F"/>
    <w:rsid w:val="00E249A2"/>
    <w:rsid w:val="00E26BD9"/>
    <w:rsid w:val="00E31115"/>
    <w:rsid w:val="00E40047"/>
    <w:rsid w:val="00E407F7"/>
    <w:rsid w:val="00E64E02"/>
    <w:rsid w:val="00E6710A"/>
    <w:rsid w:val="00E90717"/>
    <w:rsid w:val="00E912B3"/>
    <w:rsid w:val="00E93786"/>
    <w:rsid w:val="00E9747E"/>
    <w:rsid w:val="00EA194B"/>
    <w:rsid w:val="00EA2967"/>
    <w:rsid w:val="00EA6379"/>
    <w:rsid w:val="00EB5A95"/>
    <w:rsid w:val="00EB5D09"/>
    <w:rsid w:val="00EB6A2D"/>
    <w:rsid w:val="00EB735F"/>
    <w:rsid w:val="00EC0A54"/>
    <w:rsid w:val="00EC7A85"/>
    <w:rsid w:val="00EE313F"/>
    <w:rsid w:val="00EF2D77"/>
    <w:rsid w:val="00F05C40"/>
    <w:rsid w:val="00F13D6B"/>
    <w:rsid w:val="00F14A35"/>
    <w:rsid w:val="00F16FA8"/>
    <w:rsid w:val="00F17117"/>
    <w:rsid w:val="00F2541E"/>
    <w:rsid w:val="00F272EE"/>
    <w:rsid w:val="00F30DF8"/>
    <w:rsid w:val="00F46032"/>
    <w:rsid w:val="00F706D2"/>
    <w:rsid w:val="00F86326"/>
    <w:rsid w:val="00F915B0"/>
    <w:rsid w:val="00F97EFA"/>
    <w:rsid w:val="00FA6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8338C"/>
  <w15:chartTrackingRefBased/>
  <w15:docId w15:val="{339184F2-4F58-4D2F-8530-CCEDAC5C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cgpc"/>
    <w:next w:val="CGPC-elearning"/>
    <w:rsid w:val="00C24889"/>
    <w:rPr>
      <w:rFonts w:ascii="Open Sans" w:hAnsi="Open Sans"/>
      <w:kern w:val="0"/>
      <w:sz w:val="32"/>
      <w:lang w:val="fr-FR"/>
      <w14:ligatures w14:val="none"/>
    </w:rPr>
  </w:style>
  <w:style w:type="paragraph" w:styleId="Titre1">
    <w:name w:val="heading 1"/>
    <w:basedOn w:val="Normal"/>
    <w:next w:val="Normal"/>
    <w:link w:val="Titre1Car"/>
    <w:autoRedefine/>
    <w:uiPriority w:val="9"/>
    <w:qFormat/>
    <w:rsid w:val="00D30206"/>
    <w:pPr>
      <w:keepNext/>
      <w:keepLines/>
      <w:numPr>
        <w:numId w:val="6"/>
      </w:numPr>
      <w:spacing w:before="240"/>
      <w:outlineLvl w:val="0"/>
    </w:pPr>
    <w:rPr>
      <w:rFonts w:asciiTheme="majorHAnsi" w:eastAsiaTheme="majorEastAsia" w:hAnsiTheme="majorHAnsi" w:cstheme="majorBidi"/>
      <w:b/>
      <w:color w:val="FFFFFF" w:themeColor="background1"/>
      <w:kern w:val="2"/>
      <w:sz w:val="56"/>
      <w:szCs w:val="32"/>
      <w14:ligatures w14:val="standardContextual"/>
    </w:rPr>
  </w:style>
  <w:style w:type="paragraph" w:styleId="Titre2">
    <w:name w:val="heading 2"/>
    <w:aliases w:val="Titre 2 CGPC"/>
    <w:basedOn w:val="CGPC-elearning"/>
    <w:next w:val="Normal"/>
    <w:link w:val="Titre2Car"/>
    <w:autoRedefine/>
    <w:uiPriority w:val="9"/>
    <w:unhideWhenUsed/>
    <w:qFormat/>
    <w:rsid w:val="00930666"/>
    <w:pPr>
      <w:keepNext/>
      <w:keepLines/>
      <w:numPr>
        <w:numId w:val="1"/>
      </w:numPr>
      <w:tabs>
        <w:tab w:val="clear" w:pos="11950"/>
      </w:tabs>
      <w:spacing w:before="400" w:after="400" w:line="240" w:lineRule="auto"/>
      <w:contextualSpacing/>
      <w:textAlignment w:val="baseline"/>
      <w:outlineLvl w:val="1"/>
    </w:pPr>
    <w:rPr>
      <w:rFonts w:eastAsiaTheme="majorEastAsia"/>
      <w:b/>
      <w:color w:val="215E99" w:themeColor="text2" w:themeTint="BF"/>
      <w:sz w:val="52"/>
      <w:szCs w:val="26"/>
      <w:bdr w:val="none" w:sz="0" w:space="0" w:color="auto" w:frame="1"/>
      <w:lang w:val="en-US"/>
    </w:rPr>
  </w:style>
  <w:style w:type="paragraph" w:styleId="Titre3">
    <w:name w:val="heading 3"/>
    <w:aliases w:val="Titre 3 CGPC"/>
    <w:basedOn w:val="CGPC-elearning"/>
    <w:next w:val="Normal"/>
    <w:link w:val="Titre3Car"/>
    <w:autoRedefine/>
    <w:uiPriority w:val="9"/>
    <w:unhideWhenUsed/>
    <w:qFormat/>
    <w:rsid w:val="001D0595"/>
    <w:pPr>
      <w:keepNext/>
      <w:keepLines/>
      <w:numPr>
        <w:numId w:val="3"/>
      </w:numPr>
      <w:shd w:val="clear" w:color="auto" w:fill="FFFFFF"/>
      <w:tabs>
        <w:tab w:val="clear" w:pos="11950"/>
      </w:tabs>
      <w:spacing w:before="400" w:after="400" w:line="240" w:lineRule="auto"/>
      <w:textAlignment w:val="baseline"/>
      <w:outlineLvl w:val="2"/>
    </w:pPr>
    <w:rPr>
      <w:rFonts w:eastAsia="Times New Roman"/>
      <w:b/>
      <w:bCs w:val="0"/>
      <w:color w:val="215E99" w:themeColor="text2" w:themeTint="BF"/>
      <w:sz w:val="48"/>
      <w:szCs w:val="22"/>
      <w:bdr w:val="none" w:sz="0" w:space="0" w:color="auto" w:frame="1"/>
      <w:lang w:val="en-US" w:eastAsia="fr-FR"/>
    </w:rPr>
  </w:style>
  <w:style w:type="paragraph" w:styleId="Titre4">
    <w:name w:val="heading 4"/>
    <w:aliases w:val="Titre 4 CGPC"/>
    <w:basedOn w:val="CGPC-elearning"/>
    <w:next w:val="Normal"/>
    <w:link w:val="Titre4Car"/>
    <w:autoRedefine/>
    <w:uiPriority w:val="9"/>
    <w:unhideWhenUsed/>
    <w:qFormat/>
    <w:rsid w:val="007D0B5B"/>
    <w:pPr>
      <w:keepNext/>
      <w:keepLines/>
      <w:numPr>
        <w:numId w:val="2"/>
      </w:numPr>
      <w:tabs>
        <w:tab w:val="clear" w:pos="11950"/>
      </w:tabs>
      <w:spacing w:before="600" w:after="240"/>
      <w:outlineLvl w:val="3"/>
    </w:pPr>
    <w:rPr>
      <w:rFonts w:eastAsiaTheme="majorEastAsia" w:cstheme="majorBidi"/>
      <w:b/>
      <w:color w:val="0F4761" w:themeColor="accent1" w:themeShade="BF"/>
      <w:sz w:val="48"/>
      <w:szCs w:val="30"/>
      <w:bdr w:val="none" w:sz="0" w:space="0" w:color="auto" w:frame="1"/>
    </w:rPr>
  </w:style>
  <w:style w:type="paragraph" w:styleId="Titre5">
    <w:name w:val="heading 5"/>
    <w:aliases w:val="Titre 5 CGPC"/>
    <w:basedOn w:val="CGPC-elearning"/>
    <w:next w:val="Normal"/>
    <w:link w:val="Titre5Car"/>
    <w:autoRedefine/>
    <w:uiPriority w:val="9"/>
    <w:unhideWhenUsed/>
    <w:qFormat/>
    <w:rsid w:val="007D0B5B"/>
    <w:pPr>
      <w:keepNext/>
      <w:keepLines/>
      <w:tabs>
        <w:tab w:val="clear" w:pos="11950"/>
      </w:tabs>
      <w:spacing w:before="400" w:after="360"/>
      <w:ind w:left="360" w:hanging="360"/>
      <w:outlineLvl w:val="4"/>
    </w:pPr>
    <w:rPr>
      <w:rFonts w:cstheme="majorBidi"/>
      <w:b/>
      <w:color w:val="0F4761" w:themeColor="accent1" w:themeShade="BF"/>
      <w:sz w:val="44"/>
      <w:szCs w:val="20"/>
      <w:bdr w:val="none" w:sz="0" w:space="0" w:color="auto" w:frame="1"/>
      <w:lang w:eastAsia="fr-FR"/>
    </w:rPr>
  </w:style>
  <w:style w:type="paragraph" w:styleId="Titre6">
    <w:name w:val="heading 6"/>
    <w:basedOn w:val="Normal"/>
    <w:next w:val="Normal"/>
    <w:link w:val="Titre6Car"/>
    <w:autoRedefine/>
    <w:uiPriority w:val="9"/>
    <w:unhideWhenUsed/>
    <w:qFormat/>
    <w:rsid w:val="00435D18"/>
    <w:pPr>
      <w:keepNext/>
      <w:keepLines/>
      <w:spacing w:before="300" w:after="240"/>
      <w:outlineLvl w:val="5"/>
    </w:pPr>
    <w:rPr>
      <w:rFonts w:asciiTheme="majorHAnsi" w:eastAsiaTheme="majorEastAsia" w:hAnsiTheme="majorHAnsi" w:cstheme="majorBidi"/>
      <w:b/>
      <w:color w:val="156082" w:themeColor="accent1"/>
      <w:sz w:val="40"/>
    </w:rPr>
  </w:style>
  <w:style w:type="paragraph" w:styleId="Titre7">
    <w:name w:val="heading 7"/>
    <w:basedOn w:val="Normal"/>
    <w:next w:val="Normal"/>
    <w:link w:val="Titre7Car"/>
    <w:uiPriority w:val="9"/>
    <w:semiHidden/>
    <w:unhideWhenUsed/>
    <w:qFormat/>
    <w:rsid w:val="00713E7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713E76"/>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713E76"/>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Titre 3 CGPC Car"/>
    <w:basedOn w:val="Policepardfaut"/>
    <w:link w:val="Titre3"/>
    <w:uiPriority w:val="9"/>
    <w:rsid w:val="001D0595"/>
    <w:rPr>
      <w:rFonts w:ascii="Open Sans" w:eastAsia="Times New Roman" w:hAnsi="Open Sans" w:cs="Open Sans"/>
      <w:b/>
      <w:color w:val="215E99" w:themeColor="text2" w:themeTint="BF"/>
      <w:sz w:val="48"/>
      <w:bdr w:val="none" w:sz="0" w:space="0" w:color="auto" w:frame="1"/>
      <w:shd w:val="clear" w:color="auto" w:fill="FFFFFF"/>
      <w:lang w:eastAsia="fr-FR"/>
    </w:rPr>
  </w:style>
  <w:style w:type="character" w:customStyle="1" w:styleId="Titre4Car">
    <w:name w:val="Titre 4 Car"/>
    <w:aliases w:val="Titre 4 CGPC Car"/>
    <w:basedOn w:val="Policepardfaut"/>
    <w:link w:val="Titre4"/>
    <w:uiPriority w:val="9"/>
    <w:rsid w:val="007D0B5B"/>
    <w:rPr>
      <w:rFonts w:ascii="Open Sans" w:eastAsiaTheme="majorEastAsia" w:hAnsi="Open Sans" w:cstheme="majorBidi"/>
      <w:b/>
      <w:bCs/>
      <w:color w:val="0F4761" w:themeColor="accent1" w:themeShade="BF"/>
      <w:sz w:val="48"/>
      <w:szCs w:val="30"/>
      <w:bdr w:val="none" w:sz="0" w:space="0" w:color="auto" w:frame="1"/>
      <w:lang w:val="fr-FR"/>
    </w:rPr>
  </w:style>
  <w:style w:type="paragraph" w:customStyle="1" w:styleId="CGPC-elearning">
    <w:name w:val="CGPC-elearning"/>
    <w:basedOn w:val="Normal"/>
    <w:link w:val="CGPC-elearningCar"/>
    <w:autoRedefine/>
    <w:uiPriority w:val="1"/>
    <w:rsid w:val="00EF2D77"/>
    <w:pPr>
      <w:tabs>
        <w:tab w:val="left" w:pos="11950"/>
      </w:tabs>
      <w:ind w:firstLine="426"/>
    </w:pPr>
    <w:rPr>
      <w:rFonts w:cs="Open Sans"/>
      <w:bCs/>
      <w:kern w:val="2"/>
      <w:szCs w:val="32"/>
      <w14:ligatures w14:val="standardContextual"/>
    </w:rPr>
  </w:style>
  <w:style w:type="character" w:customStyle="1" w:styleId="CGPC-elearningCar">
    <w:name w:val="CGPC-elearning Car"/>
    <w:basedOn w:val="Policepardfaut"/>
    <w:link w:val="CGPC-elearning"/>
    <w:uiPriority w:val="1"/>
    <w:rsid w:val="00EF2D77"/>
    <w:rPr>
      <w:rFonts w:ascii="Open Sans" w:hAnsi="Open Sans" w:cs="Open Sans"/>
      <w:bCs/>
      <w:sz w:val="32"/>
      <w:szCs w:val="32"/>
      <w:lang w:val="fr-FR"/>
    </w:rPr>
  </w:style>
  <w:style w:type="character" w:customStyle="1" w:styleId="Titre2Car">
    <w:name w:val="Titre 2 Car"/>
    <w:aliases w:val="Titre 2 CGPC Car"/>
    <w:basedOn w:val="Policepardfaut"/>
    <w:link w:val="Titre2"/>
    <w:uiPriority w:val="9"/>
    <w:rsid w:val="00930666"/>
    <w:rPr>
      <w:rFonts w:ascii="Open Sans" w:eastAsiaTheme="majorEastAsia" w:hAnsi="Open Sans" w:cs="Open Sans"/>
      <w:b/>
      <w:bCs/>
      <w:color w:val="215E99" w:themeColor="text2" w:themeTint="BF"/>
      <w:sz w:val="52"/>
      <w:szCs w:val="26"/>
      <w:bdr w:val="none" w:sz="0" w:space="0" w:color="auto" w:frame="1"/>
    </w:rPr>
  </w:style>
  <w:style w:type="character" w:customStyle="1" w:styleId="Titre5Car">
    <w:name w:val="Titre 5 Car"/>
    <w:aliases w:val="Titre 5 CGPC Car"/>
    <w:basedOn w:val="Policepardfaut"/>
    <w:link w:val="Titre5"/>
    <w:uiPriority w:val="9"/>
    <w:rsid w:val="007D0B5B"/>
    <w:rPr>
      <w:rFonts w:ascii="Open Sans" w:hAnsi="Open Sans" w:cstheme="majorBidi"/>
      <w:b/>
      <w:bCs/>
      <w:color w:val="0F4761" w:themeColor="accent1" w:themeShade="BF"/>
      <w:sz w:val="44"/>
      <w:szCs w:val="20"/>
      <w:bdr w:val="none" w:sz="0" w:space="0" w:color="auto" w:frame="1"/>
      <w:lang w:eastAsia="fr-FR"/>
    </w:rPr>
  </w:style>
  <w:style w:type="character" w:customStyle="1" w:styleId="Titre6Car">
    <w:name w:val="Titre 6 Car"/>
    <w:basedOn w:val="Policepardfaut"/>
    <w:link w:val="Titre6"/>
    <w:uiPriority w:val="9"/>
    <w:rsid w:val="00435D18"/>
    <w:rPr>
      <w:rFonts w:asciiTheme="majorHAnsi" w:eastAsiaTheme="majorEastAsia" w:hAnsiTheme="majorHAnsi" w:cstheme="majorBidi"/>
      <w:b/>
      <w:color w:val="156082" w:themeColor="accent1"/>
      <w:kern w:val="0"/>
      <w:sz w:val="40"/>
      <w14:ligatures w14:val="none"/>
    </w:rPr>
  </w:style>
  <w:style w:type="paragraph" w:customStyle="1" w:styleId="Puceniveau1">
    <w:name w:val="Puce niveau 1"/>
    <w:basedOn w:val="Normal"/>
    <w:link w:val="Puceniveau1Car"/>
    <w:autoRedefine/>
    <w:rsid w:val="009164B6"/>
    <w:rPr>
      <w:rFonts w:cs="Open Sans"/>
      <w:bCs/>
      <w:sz w:val="24"/>
      <w:szCs w:val="36"/>
    </w:rPr>
  </w:style>
  <w:style w:type="character" w:customStyle="1" w:styleId="Puceniveau1Car">
    <w:name w:val="Puce niveau 1 Car"/>
    <w:basedOn w:val="Policepardfaut"/>
    <w:link w:val="Puceniveau1"/>
    <w:rsid w:val="00A01828"/>
    <w:rPr>
      <w:rFonts w:ascii="Open Sans" w:hAnsi="Open Sans" w:cs="Open Sans"/>
      <w:bCs/>
      <w:sz w:val="24"/>
      <w:szCs w:val="36"/>
    </w:rPr>
  </w:style>
  <w:style w:type="paragraph" w:customStyle="1" w:styleId="Puce2">
    <w:name w:val="Puce 2"/>
    <w:basedOn w:val="NormalWeb"/>
    <w:link w:val="Puce2Car"/>
    <w:autoRedefine/>
    <w:rsid w:val="00A20026"/>
    <w:pPr>
      <w:shd w:val="clear" w:color="auto" w:fill="FFFFFF"/>
      <w:ind w:left="1068" w:hanging="360"/>
      <w:textAlignment w:val="baseline"/>
    </w:pPr>
    <w:rPr>
      <w:rFonts w:ascii="Open Sans" w:hAnsi="Open Sans" w:cs="Open Sans"/>
      <w:color w:val="666666"/>
      <w:sz w:val="21"/>
      <w:szCs w:val="21"/>
      <w:lang w:eastAsia="fr-FR"/>
    </w:rPr>
  </w:style>
  <w:style w:type="character" w:customStyle="1" w:styleId="Puce2Car">
    <w:name w:val="Puce 2 Car"/>
    <w:basedOn w:val="Policepardfaut"/>
    <w:link w:val="Puce2"/>
    <w:rsid w:val="00A20026"/>
    <w:rPr>
      <w:rFonts w:ascii="Open Sans" w:eastAsia="Times New Roman" w:hAnsi="Open Sans" w:cs="Open Sans"/>
      <w:color w:val="666666"/>
      <w:kern w:val="0"/>
      <w:sz w:val="21"/>
      <w:szCs w:val="21"/>
      <w:shd w:val="clear" w:color="auto" w:fill="FFFFFF"/>
      <w:lang w:eastAsia="fr-FR"/>
      <w14:ligatures w14:val="none"/>
    </w:rPr>
  </w:style>
  <w:style w:type="paragraph" w:customStyle="1" w:styleId="Puce1">
    <w:name w:val="Puce 1"/>
    <w:basedOn w:val="CGPC-elearning"/>
    <w:link w:val="Puce1Car"/>
    <w:autoRedefine/>
    <w:rsid w:val="00A20026"/>
    <w:pPr>
      <w:ind w:left="360" w:hanging="360"/>
    </w:pPr>
    <w:rPr>
      <w:sz w:val="21"/>
    </w:rPr>
  </w:style>
  <w:style w:type="character" w:customStyle="1" w:styleId="Puce1Car">
    <w:name w:val="Puce 1 Car"/>
    <w:basedOn w:val="CGPC-elearningCar"/>
    <w:link w:val="Puce1"/>
    <w:rsid w:val="00A20026"/>
    <w:rPr>
      <w:rFonts w:ascii="Open Sans" w:hAnsi="Open Sans" w:cs="Open Sans"/>
      <w:bCs/>
      <w:color w:val="666666"/>
      <w:sz w:val="21"/>
      <w:szCs w:val="21"/>
      <w:bdr w:val="none" w:sz="0" w:space="0" w:color="auto" w:frame="1"/>
      <w:lang w:val="fr-FR" w:eastAsia="fr-FR"/>
    </w:rPr>
  </w:style>
  <w:style w:type="paragraph" w:styleId="NormalWeb">
    <w:name w:val="Normal (Web)"/>
    <w:basedOn w:val="Normal"/>
    <w:uiPriority w:val="99"/>
    <w:semiHidden/>
    <w:unhideWhenUsed/>
    <w:rsid w:val="00A20026"/>
    <w:rPr>
      <w:rFonts w:ascii="Times New Roman" w:hAnsi="Times New Roman"/>
      <w:sz w:val="24"/>
      <w:szCs w:val="24"/>
    </w:rPr>
  </w:style>
  <w:style w:type="character" w:customStyle="1" w:styleId="Titre1Car">
    <w:name w:val="Titre 1 Car"/>
    <w:basedOn w:val="Policepardfaut"/>
    <w:link w:val="Titre1"/>
    <w:uiPriority w:val="9"/>
    <w:rsid w:val="00D30206"/>
    <w:rPr>
      <w:rFonts w:asciiTheme="majorHAnsi" w:eastAsiaTheme="majorEastAsia" w:hAnsiTheme="majorHAnsi" w:cstheme="majorBidi"/>
      <w:b/>
      <w:color w:val="FFFFFF" w:themeColor="background1"/>
      <w:sz w:val="56"/>
      <w:szCs w:val="32"/>
      <w:lang w:val="fr-FR"/>
    </w:rPr>
  </w:style>
  <w:style w:type="paragraph" w:customStyle="1" w:styleId="Puces1">
    <w:name w:val="Puces 1"/>
    <w:basedOn w:val="Normal"/>
    <w:link w:val="Puces1Car"/>
    <w:autoRedefine/>
    <w:rsid w:val="00E90717"/>
    <w:pPr>
      <w:numPr>
        <w:numId w:val="4"/>
      </w:numPr>
      <w:ind w:left="360"/>
    </w:pPr>
    <w:rPr>
      <w:b/>
      <w:bCs/>
      <w:sz w:val="24"/>
      <w:lang w:eastAsia="fr-FR"/>
    </w:rPr>
  </w:style>
  <w:style w:type="character" w:customStyle="1" w:styleId="Puces1Car">
    <w:name w:val="Puces 1 Car"/>
    <w:basedOn w:val="Policepardfaut"/>
    <w:link w:val="Puces1"/>
    <w:rsid w:val="00E90717"/>
    <w:rPr>
      <w:rFonts w:ascii="Open Sans" w:hAnsi="Open Sans"/>
      <w:b/>
      <w:bCs/>
      <w:kern w:val="0"/>
      <w:sz w:val="24"/>
      <w:lang w:val="fr-FR" w:eastAsia="fr-FR"/>
      <w14:ligatures w14:val="none"/>
    </w:rPr>
  </w:style>
  <w:style w:type="paragraph" w:customStyle="1" w:styleId="Puces2">
    <w:name w:val="Puces 2"/>
    <w:basedOn w:val="Puces1"/>
    <w:link w:val="Puces2Car"/>
    <w:autoRedefine/>
    <w:rsid w:val="00E90717"/>
    <w:pPr>
      <w:numPr>
        <w:numId w:val="5"/>
      </w:numPr>
      <w:tabs>
        <w:tab w:val="clear" w:pos="720"/>
      </w:tabs>
      <w:ind w:left="1428" w:hanging="360"/>
    </w:pPr>
  </w:style>
  <w:style w:type="character" w:customStyle="1" w:styleId="Puces2Car">
    <w:name w:val="Puces 2 Car"/>
    <w:basedOn w:val="Puces1Car"/>
    <w:link w:val="Puces2"/>
    <w:rsid w:val="00E90717"/>
    <w:rPr>
      <w:rFonts w:ascii="Open Sans" w:hAnsi="Open Sans"/>
      <w:b/>
      <w:bCs/>
      <w:kern w:val="0"/>
      <w:sz w:val="24"/>
      <w:lang w:val="fr-FR" w:eastAsia="fr-FR"/>
      <w14:ligatures w14:val="none"/>
    </w:rPr>
  </w:style>
  <w:style w:type="paragraph" w:customStyle="1" w:styleId="Miseenavant">
    <w:name w:val="Mise en avant"/>
    <w:basedOn w:val="Normal"/>
    <w:link w:val="MiseenavantCar"/>
    <w:autoRedefine/>
    <w:rsid w:val="009862A2"/>
    <w:rPr>
      <w:lang w:eastAsia="fr-FR"/>
    </w:rPr>
  </w:style>
  <w:style w:type="character" w:customStyle="1" w:styleId="MiseenavantCar">
    <w:name w:val="Mise en avant Car"/>
    <w:basedOn w:val="Policepardfaut"/>
    <w:link w:val="Miseenavant"/>
    <w:rsid w:val="009862A2"/>
    <w:rPr>
      <w:rFonts w:ascii="Open Sans" w:hAnsi="Open Sans"/>
      <w:kern w:val="0"/>
      <w:sz w:val="28"/>
      <w:lang w:eastAsia="fr-FR"/>
      <w14:ligatures w14:val="none"/>
    </w:rPr>
  </w:style>
  <w:style w:type="paragraph" w:styleId="Corpsdetexte">
    <w:name w:val="Body Text"/>
    <w:basedOn w:val="Normal"/>
    <w:link w:val="CorpsdetexteCar"/>
    <w:uiPriority w:val="1"/>
    <w:rsid w:val="000769CA"/>
    <w:pPr>
      <w:widowControl w:val="0"/>
      <w:autoSpaceDE w:val="0"/>
      <w:autoSpaceDN w:val="0"/>
    </w:pPr>
    <w:rPr>
      <w:rFonts w:eastAsia="Verdana" w:cs="Verdana"/>
    </w:rPr>
  </w:style>
  <w:style w:type="character" w:customStyle="1" w:styleId="CorpsdetexteCar">
    <w:name w:val="Corps de texte Car"/>
    <w:basedOn w:val="Policepardfaut"/>
    <w:link w:val="Corpsdetexte"/>
    <w:uiPriority w:val="1"/>
    <w:rsid w:val="000769CA"/>
    <w:rPr>
      <w:rFonts w:ascii="Open Sans" w:eastAsia="Verdana" w:hAnsi="Open Sans" w:cs="Verdana"/>
      <w:kern w:val="0"/>
      <w:sz w:val="28"/>
      <w:szCs w:val="20"/>
      <w14:ligatures w14:val="none"/>
    </w:rPr>
  </w:style>
  <w:style w:type="paragraph" w:styleId="En-ttedetabledesmatires">
    <w:name w:val="TOC Heading"/>
    <w:basedOn w:val="Titre1"/>
    <w:next w:val="Normal"/>
    <w:autoRedefine/>
    <w:uiPriority w:val="39"/>
    <w:unhideWhenUsed/>
    <w:qFormat/>
    <w:rsid w:val="00243A0A"/>
    <w:pPr>
      <w:numPr>
        <w:numId w:val="0"/>
      </w:numPr>
      <w:outlineLvl w:val="9"/>
    </w:pPr>
    <w:rPr>
      <w:caps/>
      <w:color w:val="0F4761" w:themeColor="accent1" w:themeShade="BF"/>
      <w:sz w:val="40"/>
      <w:lang w:eastAsia="fr-FR"/>
    </w:rPr>
  </w:style>
  <w:style w:type="paragraph" w:customStyle="1" w:styleId="CGPC-paragraphe">
    <w:name w:val="CGPC-paragraphe"/>
    <w:basedOn w:val="Normal"/>
    <w:link w:val="CGPC-paragrapheCar"/>
    <w:autoRedefine/>
    <w:qFormat/>
    <w:rsid w:val="003A1E3A"/>
    <w:rPr>
      <w:rFonts w:cs="Open Sans"/>
      <w:bCs/>
      <w:color w:val="000000" w:themeColor="text1"/>
      <w:kern w:val="2"/>
      <w:szCs w:val="24"/>
      <w14:ligatures w14:val="standardContextual"/>
    </w:rPr>
  </w:style>
  <w:style w:type="character" w:customStyle="1" w:styleId="CGPC-paragrapheCar">
    <w:name w:val="CGPC-paragraphe Car"/>
    <w:basedOn w:val="Policepardfaut"/>
    <w:link w:val="CGPC-paragraphe"/>
    <w:rsid w:val="003A1E3A"/>
    <w:rPr>
      <w:rFonts w:ascii="Open Sans" w:hAnsi="Open Sans" w:cs="Open Sans"/>
      <w:bCs/>
      <w:color w:val="000000" w:themeColor="text1"/>
      <w:sz w:val="32"/>
      <w:szCs w:val="24"/>
    </w:rPr>
  </w:style>
  <w:style w:type="character" w:styleId="lev">
    <w:name w:val="Strong"/>
    <w:aliases w:val="Acccentuation CGPC"/>
    <w:basedOn w:val="Policepardfaut"/>
    <w:uiPriority w:val="22"/>
    <w:qFormat/>
    <w:rsid w:val="003A1E3A"/>
    <w:rPr>
      <w:b/>
      <w:bCs/>
    </w:rPr>
  </w:style>
  <w:style w:type="paragraph" w:customStyle="1" w:styleId="Paragraphe-CGPC">
    <w:name w:val="Paragraphe-CGPC"/>
    <w:basedOn w:val="Normal"/>
    <w:link w:val="Paragraphe-CGPCCar"/>
    <w:autoRedefine/>
    <w:rsid w:val="00914EDB"/>
    <w:rPr>
      <w:rFonts w:cs="Open Sans"/>
      <w:bCs/>
      <w:color w:val="000000"/>
      <w:kern w:val="2"/>
      <w:szCs w:val="24"/>
      <w:bdr w:val="none" w:sz="0" w:space="0" w:color="auto" w:frame="1"/>
      <w14:ligatures w14:val="standardContextual"/>
    </w:rPr>
  </w:style>
  <w:style w:type="character" w:customStyle="1" w:styleId="Paragraphe-CGPCCar">
    <w:name w:val="Paragraphe-CGPC Car"/>
    <w:basedOn w:val="Policepardfaut"/>
    <w:link w:val="Paragraphe-CGPC"/>
    <w:rsid w:val="00914EDB"/>
    <w:rPr>
      <w:rFonts w:ascii="Open Sans" w:hAnsi="Open Sans" w:cs="Open Sans"/>
      <w:bCs/>
      <w:color w:val="000000"/>
      <w:sz w:val="32"/>
      <w:szCs w:val="24"/>
      <w:bdr w:val="none" w:sz="0" w:space="0" w:color="auto" w:frame="1"/>
    </w:rPr>
  </w:style>
  <w:style w:type="paragraph" w:customStyle="1" w:styleId="Style5">
    <w:name w:val="Style 5"/>
    <w:basedOn w:val="Titre6"/>
    <w:link w:val="Style5Car"/>
    <w:autoRedefine/>
    <w:rsid w:val="00E6710A"/>
    <w:rPr>
      <w:b w:val="0"/>
      <w:noProof/>
    </w:rPr>
  </w:style>
  <w:style w:type="character" w:customStyle="1" w:styleId="Style5Car">
    <w:name w:val="Style 5 Car"/>
    <w:basedOn w:val="Policepardfaut"/>
    <w:link w:val="Style5"/>
    <w:rsid w:val="00E6710A"/>
    <w:rPr>
      <w:rFonts w:asciiTheme="majorHAnsi" w:eastAsiaTheme="majorEastAsia" w:hAnsiTheme="majorHAnsi" w:cstheme="majorBidi"/>
      <w:b/>
      <w:noProof/>
      <w:color w:val="156082" w:themeColor="accent1"/>
      <w:kern w:val="0"/>
      <w:sz w:val="40"/>
      <w14:ligatures w14:val="none"/>
    </w:rPr>
  </w:style>
  <w:style w:type="paragraph" w:styleId="TM3">
    <w:name w:val="toc 3"/>
    <w:basedOn w:val="Normal"/>
    <w:next w:val="Normal"/>
    <w:autoRedefine/>
    <w:uiPriority w:val="39"/>
    <w:unhideWhenUsed/>
    <w:rsid w:val="00E6710A"/>
    <w:pPr>
      <w:spacing w:after="100"/>
      <w:ind w:left="640"/>
    </w:pPr>
  </w:style>
  <w:style w:type="paragraph" w:customStyle="1" w:styleId="Titrechapitre">
    <w:name w:val="Titre chapitre"/>
    <w:basedOn w:val="Normal"/>
    <w:link w:val="TitrechapitreCar"/>
    <w:autoRedefine/>
    <w:uiPriority w:val="1"/>
    <w:qFormat/>
    <w:rsid w:val="00435D18"/>
    <w:rPr>
      <w:rFonts w:hAnsiTheme="minorHAnsi" w:cs="Open Sans"/>
      <w:b/>
      <w:bCs/>
      <w:color w:val="FFFFFF" w:themeColor="background1"/>
      <w:kern w:val="2"/>
      <w:sz w:val="56"/>
      <w:szCs w:val="2"/>
      <w14:ligatures w14:val="standardContextual"/>
    </w:rPr>
  </w:style>
  <w:style w:type="character" w:customStyle="1" w:styleId="TitrechapitreCar">
    <w:name w:val="Titre chapitre Car"/>
    <w:basedOn w:val="Policepardfaut"/>
    <w:link w:val="Titrechapitre"/>
    <w:uiPriority w:val="1"/>
    <w:rsid w:val="00435D18"/>
    <w:rPr>
      <w:rFonts w:ascii="Open Sans" w:cs="Open Sans"/>
      <w:b/>
      <w:bCs/>
      <w:color w:val="FFFFFF" w:themeColor="background1"/>
      <w:sz w:val="56"/>
      <w:szCs w:val="2"/>
      <w:lang w:val="fr-FR"/>
    </w:rPr>
  </w:style>
  <w:style w:type="paragraph" w:styleId="TM1">
    <w:name w:val="toc 1"/>
    <w:basedOn w:val="Normal"/>
    <w:next w:val="Normal"/>
    <w:autoRedefine/>
    <w:uiPriority w:val="39"/>
    <w:unhideWhenUsed/>
    <w:rsid w:val="000120AE"/>
    <w:pPr>
      <w:tabs>
        <w:tab w:val="left" w:pos="480"/>
        <w:tab w:val="right" w:leader="dot" w:pos="20921"/>
      </w:tabs>
      <w:spacing w:before="120"/>
    </w:pPr>
    <w:rPr>
      <w:rFonts w:cstheme="minorHAnsi"/>
      <w:b/>
      <w:bCs/>
      <w:i/>
      <w:iCs/>
      <w:sz w:val="28"/>
      <w:szCs w:val="24"/>
    </w:rPr>
  </w:style>
  <w:style w:type="character" w:customStyle="1" w:styleId="Titre7Car">
    <w:name w:val="Titre 7 Car"/>
    <w:basedOn w:val="Policepardfaut"/>
    <w:link w:val="Titre7"/>
    <w:uiPriority w:val="9"/>
    <w:semiHidden/>
    <w:rsid w:val="00713E76"/>
    <w:rPr>
      <w:rFonts w:eastAsiaTheme="majorEastAsia" w:cstheme="majorBidi"/>
      <w:color w:val="595959" w:themeColor="text1" w:themeTint="A6"/>
      <w:kern w:val="0"/>
      <w:sz w:val="32"/>
      <w:lang w:val="fr-FR"/>
      <w14:ligatures w14:val="none"/>
    </w:rPr>
  </w:style>
  <w:style w:type="character" w:customStyle="1" w:styleId="Titre8Car">
    <w:name w:val="Titre 8 Car"/>
    <w:basedOn w:val="Policepardfaut"/>
    <w:link w:val="Titre8"/>
    <w:uiPriority w:val="9"/>
    <w:semiHidden/>
    <w:rsid w:val="00713E76"/>
    <w:rPr>
      <w:rFonts w:eastAsiaTheme="majorEastAsia" w:cstheme="majorBidi"/>
      <w:i/>
      <w:iCs/>
      <w:color w:val="272727" w:themeColor="text1" w:themeTint="D8"/>
      <w:kern w:val="0"/>
      <w:sz w:val="32"/>
      <w:lang w:val="fr-FR"/>
      <w14:ligatures w14:val="none"/>
    </w:rPr>
  </w:style>
  <w:style w:type="character" w:customStyle="1" w:styleId="Titre9Car">
    <w:name w:val="Titre 9 Car"/>
    <w:basedOn w:val="Policepardfaut"/>
    <w:link w:val="Titre9"/>
    <w:uiPriority w:val="9"/>
    <w:semiHidden/>
    <w:rsid w:val="00713E76"/>
    <w:rPr>
      <w:rFonts w:eastAsiaTheme="majorEastAsia" w:cstheme="majorBidi"/>
      <w:color w:val="272727" w:themeColor="text1" w:themeTint="D8"/>
      <w:kern w:val="0"/>
      <w:sz w:val="32"/>
      <w:lang w:val="fr-FR"/>
      <w14:ligatures w14:val="none"/>
    </w:rPr>
  </w:style>
  <w:style w:type="paragraph" w:styleId="Titre">
    <w:name w:val="Title"/>
    <w:basedOn w:val="Normal"/>
    <w:next w:val="Normal"/>
    <w:link w:val="TitreCar"/>
    <w:uiPriority w:val="10"/>
    <w:qFormat/>
    <w:rsid w:val="00713E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13E76"/>
    <w:rPr>
      <w:rFonts w:asciiTheme="majorHAnsi" w:eastAsiaTheme="majorEastAsia" w:hAnsiTheme="majorHAnsi" w:cstheme="majorBidi"/>
      <w:spacing w:val="-10"/>
      <w:kern w:val="28"/>
      <w:sz w:val="56"/>
      <w:szCs w:val="56"/>
      <w:lang w:val="fr-FR"/>
      <w14:ligatures w14:val="none"/>
    </w:rPr>
  </w:style>
  <w:style w:type="paragraph" w:styleId="Sous-titre">
    <w:name w:val="Subtitle"/>
    <w:basedOn w:val="Normal"/>
    <w:next w:val="Normal"/>
    <w:link w:val="Sous-titreCar"/>
    <w:uiPriority w:val="11"/>
    <w:qFormat/>
    <w:rsid w:val="00713E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13E76"/>
    <w:rPr>
      <w:rFonts w:eastAsiaTheme="majorEastAsia" w:cstheme="majorBidi"/>
      <w:color w:val="595959" w:themeColor="text1" w:themeTint="A6"/>
      <w:spacing w:val="15"/>
      <w:kern w:val="0"/>
      <w:sz w:val="28"/>
      <w:szCs w:val="28"/>
      <w:lang w:val="fr-FR"/>
      <w14:ligatures w14:val="none"/>
    </w:rPr>
  </w:style>
  <w:style w:type="paragraph" w:styleId="Citation">
    <w:name w:val="Quote"/>
    <w:basedOn w:val="Normal"/>
    <w:next w:val="Normal"/>
    <w:link w:val="CitationCar"/>
    <w:uiPriority w:val="29"/>
    <w:qFormat/>
    <w:rsid w:val="00713E76"/>
    <w:pPr>
      <w:spacing w:before="160"/>
      <w:jc w:val="center"/>
    </w:pPr>
    <w:rPr>
      <w:i/>
      <w:iCs/>
      <w:color w:val="404040" w:themeColor="text1" w:themeTint="BF"/>
    </w:rPr>
  </w:style>
  <w:style w:type="character" w:customStyle="1" w:styleId="CitationCar">
    <w:name w:val="Citation Car"/>
    <w:basedOn w:val="Policepardfaut"/>
    <w:link w:val="Citation"/>
    <w:uiPriority w:val="29"/>
    <w:rsid w:val="00713E76"/>
    <w:rPr>
      <w:rFonts w:ascii="Open Sans" w:hAnsi="Open Sans"/>
      <w:i/>
      <w:iCs/>
      <w:color w:val="404040" w:themeColor="text1" w:themeTint="BF"/>
      <w:kern w:val="0"/>
      <w:sz w:val="32"/>
      <w:lang w:val="fr-FR"/>
      <w14:ligatures w14:val="none"/>
    </w:rPr>
  </w:style>
  <w:style w:type="paragraph" w:styleId="Paragraphedeliste">
    <w:name w:val="List Paragraph"/>
    <w:basedOn w:val="Normal"/>
    <w:uiPriority w:val="34"/>
    <w:qFormat/>
    <w:rsid w:val="00713E76"/>
    <w:pPr>
      <w:ind w:left="720"/>
      <w:contextualSpacing/>
    </w:pPr>
  </w:style>
  <w:style w:type="character" w:styleId="Accentuationintense">
    <w:name w:val="Intense Emphasis"/>
    <w:basedOn w:val="Policepardfaut"/>
    <w:uiPriority w:val="21"/>
    <w:qFormat/>
    <w:rsid w:val="00713E76"/>
    <w:rPr>
      <w:i/>
      <w:iCs/>
      <w:color w:val="0F4761" w:themeColor="accent1" w:themeShade="BF"/>
    </w:rPr>
  </w:style>
  <w:style w:type="paragraph" w:styleId="Citationintense">
    <w:name w:val="Intense Quote"/>
    <w:basedOn w:val="Normal"/>
    <w:next w:val="Normal"/>
    <w:link w:val="CitationintenseCar"/>
    <w:uiPriority w:val="30"/>
    <w:qFormat/>
    <w:rsid w:val="00713E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13E76"/>
    <w:rPr>
      <w:rFonts w:ascii="Open Sans" w:hAnsi="Open Sans"/>
      <w:i/>
      <w:iCs/>
      <w:color w:val="0F4761" w:themeColor="accent1" w:themeShade="BF"/>
      <w:kern w:val="0"/>
      <w:sz w:val="32"/>
      <w:lang w:val="fr-FR"/>
      <w14:ligatures w14:val="none"/>
    </w:rPr>
  </w:style>
  <w:style w:type="character" w:styleId="Rfrenceintense">
    <w:name w:val="Intense Reference"/>
    <w:basedOn w:val="Policepardfaut"/>
    <w:uiPriority w:val="32"/>
    <w:qFormat/>
    <w:rsid w:val="00713E76"/>
    <w:rPr>
      <w:b/>
      <w:bCs/>
      <w:smallCaps/>
      <w:color w:val="0F4761" w:themeColor="accent1" w:themeShade="BF"/>
      <w:spacing w:val="5"/>
    </w:rPr>
  </w:style>
  <w:style w:type="character" w:styleId="Lienhypertexte">
    <w:name w:val="Hyperlink"/>
    <w:basedOn w:val="Policepardfaut"/>
    <w:uiPriority w:val="99"/>
    <w:unhideWhenUsed/>
    <w:rsid w:val="00BA15E8"/>
    <w:rPr>
      <w:color w:val="467886" w:themeColor="hyperlink"/>
      <w:u w:val="single"/>
    </w:rPr>
  </w:style>
  <w:style w:type="character" w:styleId="Mentionnonrsolue">
    <w:name w:val="Unresolved Mention"/>
    <w:basedOn w:val="Policepardfaut"/>
    <w:uiPriority w:val="99"/>
    <w:semiHidden/>
    <w:unhideWhenUsed/>
    <w:rsid w:val="00BA15E8"/>
    <w:rPr>
      <w:color w:val="605E5C"/>
      <w:shd w:val="clear" w:color="auto" w:fill="E1DFDD"/>
    </w:rPr>
  </w:style>
  <w:style w:type="character" w:styleId="Lienhypertextesuivivisit">
    <w:name w:val="FollowedHyperlink"/>
    <w:basedOn w:val="Policepardfaut"/>
    <w:uiPriority w:val="99"/>
    <w:semiHidden/>
    <w:unhideWhenUsed/>
    <w:rsid w:val="00C747A2"/>
    <w:rPr>
      <w:color w:val="96607D" w:themeColor="followedHyperlink"/>
      <w:u w:val="single"/>
    </w:rPr>
  </w:style>
  <w:style w:type="paragraph" w:styleId="En-tte">
    <w:name w:val="header"/>
    <w:basedOn w:val="Normal"/>
    <w:link w:val="En-tteCar"/>
    <w:uiPriority w:val="99"/>
    <w:unhideWhenUsed/>
    <w:rsid w:val="00176CF1"/>
    <w:pPr>
      <w:tabs>
        <w:tab w:val="center" w:pos="4680"/>
        <w:tab w:val="right" w:pos="9360"/>
      </w:tabs>
      <w:spacing w:after="0" w:line="240" w:lineRule="auto"/>
    </w:pPr>
  </w:style>
  <w:style w:type="character" w:customStyle="1" w:styleId="En-tteCar">
    <w:name w:val="En-tête Car"/>
    <w:basedOn w:val="Policepardfaut"/>
    <w:link w:val="En-tte"/>
    <w:uiPriority w:val="99"/>
    <w:rsid w:val="00176CF1"/>
    <w:rPr>
      <w:rFonts w:ascii="Open Sans" w:hAnsi="Open Sans"/>
      <w:kern w:val="0"/>
      <w:sz w:val="32"/>
      <w:lang w:val="fr-FR"/>
      <w14:ligatures w14:val="none"/>
    </w:rPr>
  </w:style>
  <w:style w:type="paragraph" w:styleId="Pieddepage">
    <w:name w:val="footer"/>
    <w:basedOn w:val="Normal"/>
    <w:link w:val="PieddepageCar"/>
    <w:uiPriority w:val="99"/>
    <w:unhideWhenUsed/>
    <w:rsid w:val="00176CF1"/>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176CF1"/>
    <w:rPr>
      <w:rFonts w:ascii="Open Sans" w:hAnsi="Open Sans"/>
      <w:kern w:val="0"/>
      <w:sz w:val="32"/>
      <w:lang w:val="fr-FR"/>
      <w14:ligatures w14:val="none"/>
    </w:rPr>
  </w:style>
  <w:style w:type="paragraph" w:styleId="TM2">
    <w:name w:val="toc 2"/>
    <w:basedOn w:val="Normal"/>
    <w:next w:val="Normal"/>
    <w:autoRedefine/>
    <w:uiPriority w:val="39"/>
    <w:unhideWhenUsed/>
    <w:rsid w:val="006A7041"/>
    <w:pPr>
      <w:spacing w:after="100"/>
      <w:ind w:left="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etheure xmlns="b079812a-7967-4ed2-9291-1c797a51b449" xsi:nil="true"/>
    <TaxCatchAll xmlns="427b065b-dfa1-44b2-8977-c4f8c74eb7ce" xsi:nil="true"/>
    <lcf76f155ced4ddcb4097134ff3c332f xmlns="b079812a-7967-4ed2-9291-1c797a51b44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DCEF34-D9A2-4435-B9D5-22FA783EB700}">
  <ds:schemaRefs>
    <ds:schemaRef ds:uri="http://schemas.openxmlformats.org/officeDocument/2006/bibliography"/>
  </ds:schemaRefs>
</ds:datastoreItem>
</file>

<file path=customXml/itemProps2.xml><?xml version="1.0" encoding="utf-8"?>
<ds:datastoreItem xmlns:ds="http://schemas.openxmlformats.org/officeDocument/2006/customXml" ds:itemID="{1A8FB95C-4F0D-40AA-AA7F-6DA5B9EC6FF3}">
  <ds:schemaRefs>
    <ds:schemaRef ds:uri="http://schemas.microsoft.com/sharepoint/v3/contenttype/forms"/>
  </ds:schemaRefs>
</ds:datastoreItem>
</file>

<file path=customXml/itemProps3.xml><?xml version="1.0" encoding="utf-8"?>
<ds:datastoreItem xmlns:ds="http://schemas.openxmlformats.org/officeDocument/2006/customXml" ds:itemID="{7E6B7C66-BEA6-41A0-AC31-3A5B85268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5550AB-3CDF-4CF3-AD47-BDF0BB015E70}">
  <ds:schemaRefs>
    <ds:schemaRef ds:uri="http://schemas.microsoft.com/office/2006/metadata/properties"/>
    <ds:schemaRef ds:uri="http://schemas.microsoft.com/office/infopath/2007/PartnerControls"/>
    <ds:schemaRef ds:uri="b079812a-7967-4ed2-9291-1c797a51b449"/>
    <ds:schemaRef ds:uri="427b065b-dfa1-44b2-8977-c4f8c74eb7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3326</Words>
  <Characters>18298</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Chapitre 2 : l’anticipation de la vulnérabilité d’une personne</vt:lpstr>
    </vt:vector>
  </TitlesOfParts>
  <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 : l’anticipation de la vulnérabilité d’une personne</dc:title>
  <dc:subject/>
  <dc:creator>raymondleban@cgpc.dev</dc:creator>
  <cp:keywords/>
  <dc:description/>
  <cp:lastModifiedBy>Raymond Leban</cp:lastModifiedBy>
  <cp:revision>3</cp:revision>
  <dcterms:created xsi:type="dcterms:W3CDTF">2026-07-12T05:50:00Z</dcterms:created>
  <dcterms:modified xsi:type="dcterms:W3CDTF">2026-07-14T07:30:00Z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